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DD" w:rsidRPr="00704EC3" w:rsidRDefault="00CC32DD" w:rsidP="006C6F97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0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JONY473XA0 </w:t>
      </w:r>
      <w:proofErr w:type="spellStart"/>
      <w:r w:rsidRPr="0070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Legal</w:t>
      </w:r>
      <w:proofErr w:type="spellEnd"/>
      <w:r w:rsidRPr="0070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70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Reasonin</w:t>
      </w:r>
      <w:proofErr w:type="spellEnd"/>
      <w:r w:rsidRPr="0070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70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in</w:t>
      </w:r>
      <w:proofErr w:type="spellEnd"/>
      <w:r w:rsidRPr="0070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English – 6 ECTS</w:t>
      </w:r>
    </w:p>
    <w:p w:rsidR="00CC32DD" w:rsidRPr="00CC32DD" w:rsidRDefault="00CC32DD" w:rsidP="006C6F9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6F97" w:rsidRPr="00CC32DD" w:rsidRDefault="006C6F97" w:rsidP="006C6F9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General </w:t>
      </w:r>
      <w:proofErr w:type="spellStart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description</w:t>
      </w:r>
      <w:proofErr w:type="spellEnd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seminar</w:t>
      </w:r>
      <w:proofErr w:type="spellEnd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:</w:t>
      </w:r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The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seminar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offers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practical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information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reasoning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English. The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nearly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exclusive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focus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placed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English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argument-building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tasks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relevant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lawyers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outside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common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systems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including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limited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 and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international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related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materials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methodical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approach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applied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study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structure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various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reference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systems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applicable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required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papers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lays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emphasis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all-skills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development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exercises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involving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interactive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audiovisual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tools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C6F97" w:rsidRPr="00CC32DD" w:rsidRDefault="006C6F97" w:rsidP="006C6F9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4580" w:rsidRPr="00CC32DD" w:rsidRDefault="006C6F9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proofErr w:type="spellStart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Special</w:t>
      </w:r>
      <w:proofErr w:type="spellEnd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description</w:t>
      </w:r>
      <w:proofErr w:type="spellEnd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seminar</w:t>
      </w:r>
      <w:proofErr w:type="spellEnd"/>
      <w:r w:rsidRPr="00CC3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:</w:t>
      </w:r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Along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lines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a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real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case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before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International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Court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Justice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(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landmark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case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public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international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law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Military and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Paramilitary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Activities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and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against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Nicaragua (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Nicaragua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v. United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States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America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))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students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will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get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to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know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structure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argumentation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and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good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advocacy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skills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. 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This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pragmatic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course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aligns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phases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case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they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appeared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real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time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.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By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this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empiric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approach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helps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preparing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students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for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rigors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analysis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general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international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practice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providing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a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variety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all-skills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experiences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including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submission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parties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and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legal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opinions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. </w:t>
      </w:r>
    </w:p>
    <w:p w:rsidR="006C6F97" w:rsidRDefault="006C6F9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proofErr w:type="spellStart"/>
      <w:r w:rsidRPr="00704E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Assessment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is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written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: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open-book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examination</w:t>
      </w:r>
      <w:proofErr w:type="spellEnd"/>
      <w:r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r w:rsidR="00054233"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and </w:t>
      </w:r>
      <w:proofErr w:type="spellStart"/>
      <w:r w:rsidR="00054233"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course-wise</w:t>
      </w:r>
      <w:proofErr w:type="spellEnd"/>
      <w:r w:rsidR="00054233"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="00054233" w:rsidRPr="00CC3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activity</w:t>
      </w:r>
      <w:proofErr w:type="spellEnd"/>
    </w:p>
    <w:p w:rsidR="00CC32DD" w:rsidRPr="00704EC3" w:rsidRDefault="00DF76D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Bib</w:t>
      </w:r>
      <w:r w:rsidR="00527E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iography</w:t>
      </w:r>
      <w:r w:rsidR="00080AA9" w:rsidRPr="00704E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DFDFD"/>
          <w:lang w:eastAsia="hu-HU"/>
        </w:rPr>
        <w:t>:</w:t>
      </w:r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1. Military and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Paramilitary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Activities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and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against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Nicaragua (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Nicaragua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v. United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States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America-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a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landmark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case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public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international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law</w:t>
      </w:r>
      <w:proofErr w:type="spellEnd"/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-Memorial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Nicaragua and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Counter-Memorial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United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States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America</w:t>
      </w:r>
      <w:proofErr w:type="spellEnd"/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-the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Judgment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Court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on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Jurisdiction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and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Admissibility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Application</w:t>
      </w:r>
      <w:proofErr w:type="spellEnd"/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-Separate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Opinion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Judge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Sir Robert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Jennings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</w:t>
      </w:r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2. The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Statute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International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Court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Justice</w:t>
      </w:r>
      <w:proofErr w:type="spellEnd"/>
    </w:p>
    <w:p w:rsid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3. The Charter of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the</w:t>
      </w:r>
      <w:proofErr w:type="spellEnd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 xml:space="preserve"> United </w:t>
      </w:r>
      <w:proofErr w:type="spellStart"/>
      <w:r w:rsidRPr="0008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  <w:t>Nations</w:t>
      </w:r>
      <w:proofErr w:type="spellEnd"/>
    </w:p>
    <w:p w:rsidR="00637234" w:rsidRPr="00080AA9" w:rsidRDefault="00637234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</w:p>
    <w:p w:rsidR="00080AA9" w:rsidRPr="00637234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</w:pPr>
      <w:proofErr w:type="spellStart"/>
      <w:r w:rsidRPr="006372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>articles</w:t>
      </w:r>
      <w:proofErr w:type="spellEnd"/>
      <w:r w:rsidRPr="006372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 xml:space="preserve">: </w:t>
      </w:r>
      <w:proofErr w:type="spellStart"/>
      <w:r w:rsidRPr="006372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>miscellenea</w:t>
      </w:r>
      <w:proofErr w:type="spellEnd"/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hyperlink r:id="rId4" w:history="1"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t>http://articles.latimes.com/1985</w:t>
        </w:r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softHyphen/>
          <w:t>01</w:t>
        </w:r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softHyphen/>
          <w:t>20/news/mn</w:t>
        </w:r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softHyphen/>
          <w:t>10776_1_world</w:t>
        </w:r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softHyphen/>
          <w:t>court</w:t>
        </w:r>
      </w:hyperlink>
    </w:p>
    <w:p w:rsidR="000A009E" w:rsidRDefault="000A009E" w:rsidP="00080A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</w:pPr>
    </w:p>
    <w:p w:rsidR="00080AA9" w:rsidRPr="000A009E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</w:pPr>
      <w:proofErr w:type="spellStart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>documentaries</w:t>
      </w:r>
      <w:proofErr w:type="spellEnd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 xml:space="preserve"> and </w:t>
      </w:r>
      <w:proofErr w:type="spellStart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>summaries</w:t>
      </w:r>
      <w:proofErr w:type="spellEnd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 xml:space="preserve"> of </w:t>
      </w:r>
      <w:proofErr w:type="spellStart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>the</w:t>
      </w:r>
      <w:proofErr w:type="spellEnd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 xml:space="preserve"> </w:t>
      </w:r>
      <w:proofErr w:type="spellStart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>case</w:t>
      </w:r>
      <w:proofErr w:type="spellEnd"/>
      <w:r w:rsidRPr="000A0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DFD"/>
          <w:lang w:eastAsia="hu-HU"/>
        </w:rPr>
        <w:t>;</w:t>
      </w:r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hyperlink r:id="rId5" w:history="1"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t>https://www.youtube.com/watch?v=JOsDwFo2EhM</w:t>
        </w:r>
      </w:hyperlink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hyperlink r:id="rId6" w:history="1"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t>https://www.youtube.com/watch?v=1dqFredlTeE</w:t>
        </w:r>
      </w:hyperlink>
    </w:p>
    <w:p w:rsidR="00080AA9" w:rsidRPr="00080AA9" w:rsidRDefault="00080AA9" w:rsidP="00080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  <w:hyperlink r:id="rId7" w:history="1">
        <w:r w:rsidRPr="00080AA9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DFDFD"/>
            <w:lang w:eastAsia="hu-HU"/>
          </w:rPr>
          <w:t>https://www.youtube.com/watch?v=5d_J-fUG_b0</w:t>
        </w:r>
      </w:hyperlink>
    </w:p>
    <w:p w:rsidR="00080AA9" w:rsidRPr="00CC32DD" w:rsidRDefault="00080AA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hu-HU"/>
        </w:rPr>
      </w:pPr>
    </w:p>
    <w:sectPr w:rsidR="00080AA9" w:rsidRPr="00C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97"/>
    <w:rsid w:val="0002429C"/>
    <w:rsid w:val="00054233"/>
    <w:rsid w:val="00080AA9"/>
    <w:rsid w:val="000A009E"/>
    <w:rsid w:val="001A4298"/>
    <w:rsid w:val="00377A62"/>
    <w:rsid w:val="00527EF0"/>
    <w:rsid w:val="00637234"/>
    <w:rsid w:val="006C6F97"/>
    <w:rsid w:val="00704EC3"/>
    <w:rsid w:val="00CC32DD"/>
    <w:rsid w:val="00D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3A37-0DA3-4E79-9AA7-0F1198C5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F97"/>
    <w:pPr>
      <w:spacing w:after="160" w:line="259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0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_J-fUG_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dqFredlTeE" TargetMode="External"/><Relationship Id="rId5" Type="http://schemas.openxmlformats.org/officeDocument/2006/relationships/hyperlink" Target="https://www.youtube.com/watch?v=JOsDwFo2EhM" TargetMode="External"/><Relationship Id="rId4" Type="http://schemas.openxmlformats.org/officeDocument/2006/relationships/hyperlink" Target="http://articles.latimes.com/19850120/news/mn10776_1_worldcou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 Zoltán</dc:creator>
  <cp:lastModifiedBy>Pollák Zsuzsanna</cp:lastModifiedBy>
  <cp:revision>9</cp:revision>
  <dcterms:created xsi:type="dcterms:W3CDTF">2016-06-03T15:33:00Z</dcterms:created>
  <dcterms:modified xsi:type="dcterms:W3CDTF">2016-06-03T15:35:00Z</dcterms:modified>
</cp:coreProperties>
</file>