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DD" w:rsidRDefault="008A37DD" w:rsidP="008A37DD">
      <w:pPr>
        <w:pStyle w:val="wText"/>
        <w:rPr>
          <w:rFonts w:cs="Times New Roman"/>
          <w:b/>
          <w:sz w:val="28"/>
          <w:szCs w:val="28"/>
        </w:rPr>
      </w:pPr>
      <w:proofErr w:type="gramStart"/>
      <w:r>
        <w:rPr>
          <w:rFonts w:cs="Times New Roman"/>
          <w:b/>
          <w:sz w:val="28"/>
          <w:szCs w:val="28"/>
        </w:rPr>
        <w:t>Competition law 2.</w:t>
      </w:r>
      <w:proofErr w:type="gramEnd"/>
      <w:r>
        <w:rPr>
          <w:rFonts w:cs="Times New Roman"/>
          <w:b/>
          <w:sz w:val="28"/>
          <w:szCs w:val="28"/>
        </w:rPr>
        <w:t xml:space="preserve"> </w:t>
      </w:r>
    </w:p>
    <w:p w:rsidR="008A37DD" w:rsidRPr="005C08C7" w:rsidRDefault="008A37DD" w:rsidP="008A37DD">
      <w:pPr>
        <w:pStyle w:val="Default"/>
        <w:jc w:val="both"/>
        <w:rPr>
          <w:b/>
          <w:color w:val="auto"/>
          <w:lang w:val="en-US"/>
        </w:rPr>
      </w:pPr>
      <w:r w:rsidRPr="005C08C7">
        <w:rPr>
          <w:b/>
          <w:color w:val="auto"/>
          <w:lang w:val="en-US"/>
        </w:rPr>
        <w:t>Summary</w:t>
      </w:r>
    </w:p>
    <w:p w:rsidR="008A37DD" w:rsidRPr="005C08C7" w:rsidRDefault="008A37DD" w:rsidP="008A37DD">
      <w:pPr>
        <w:pStyle w:val="Default"/>
        <w:jc w:val="both"/>
        <w:rPr>
          <w:color w:val="auto"/>
          <w:lang w:val="en-US"/>
        </w:rPr>
      </w:pPr>
    </w:p>
    <w:p w:rsidR="008A37DD" w:rsidRPr="005C08C7" w:rsidRDefault="008A37DD" w:rsidP="008A37DD">
      <w:pPr>
        <w:pStyle w:val="Default"/>
        <w:jc w:val="both"/>
        <w:rPr>
          <w:color w:val="auto"/>
          <w:lang w:val="en-US"/>
        </w:rPr>
      </w:pPr>
      <w:r w:rsidRPr="005C08C7">
        <w:rPr>
          <w:color w:val="auto"/>
          <w:lang w:val="en-US"/>
        </w:rPr>
        <w:t xml:space="preserve">The </w:t>
      </w:r>
      <w:r>
        <w:rPr>
          <w:color w:val="auto"/>
          <w:lang w:val="en-US"/>
        </w:rPr>
        <w:t>course</w:t>
      </w:r>
      <w:r w:rsidRPr="005C08C7">
        <w:rPr>
          <w:color w:val="auto"/>
          <w:lang w:val="en-US"/>
        </w:rPr>
        <w:t xml:space="preserve"> introduces students to the </w:t>
      </w:r>
      <w:r>
        <w:rPr>
          <w:color w:val="auto"/>
          <w:lang w:val="en-US"/>
        </w:rPr>
        <w:t xml:space="preserve">principles, institutions </w:t>
      </w:r>
      <w:r w:rsidRPr="005C08C7">
        <w:rPr>
          <w:color w:val="auto"/>
          <w:lang w:val="en-US"/>
        </w:rPr>
        <w:t xml:space="preserve">and </w:t>
      </w:r>
      <w:r>
        <w:rPr>
          <w:color w:val="auto"/>
          <w:lang w:val="en-US"/>
        </w:rPr>
        <w:t>the</w:t>
      </w:r>
      <w:r w:rsidRPr="005C08C7">
        <w:rPr>
          <w:color w:val="auto"/>
          <w:lang w:val="en-US"/>
        </w:rPr>
        <w:t xml:space="preserve"> law </w:t>
      </w:r>
      <w:r>
        <w:rPr>
          <w:color w:val="auto"/>
          <w:lang w:val="en-US"/>
        </w:rPr>
        <w:t xml:space="preserve">of EU and Hungarian competition law. Competition law is a centralized and well established field of EU law that allows student not only to learn how EU institutions function, but also how EU and national laws interact with each other. In addition to the prohibitions on cartels, abuse of dominance, control of mergers, students will get an insight into the control of state aid and the establishment of public monopolies. We will also look at how competition rules are enforced through administrative and civil law procedures. Whenever relevant, we will make comparisons with the U.S. legal system. The course will benefit not only those interested in antitrust, but also those who would like to understand the economic goals of the European integration process. </w:t>
      </w:r>
    </w:p>
    <w:p w:rsidR="008A37DD" w:rsidRDefault="008A37DD" w:rsidP="008A37DD">
      <w:pPr>
        <w:pStyle w:val="wText"/>
        <w:rPr>
          <w:rFonts w:cs="Times New Roman"/>
          <w:szCs w:val="24"/>
        </w:rPr>
      </w:pPr>
    </w:p>
    <w:p w:rsidR="008A37DD" w:rsidRPr="005C08C7" w:rsidRDefault="008A37DD" w:rsidP="008A37DD">
      <w:pPr>
        <w:pStyle w:val="wText"/>
        <w:rPr>
          <w:rFonts w:cs="Times New Roman"/>
          <w:szCs w:val="24"/>
        </w:rPr>
      </w:pPr>
      <w:r>
        <w:rPr>
          <w:rFonts w:cs="Times New Roman"/>
          <w:b/>
          <w:bCs/>
          <w:szCs w:val="24"/>
        </w:rPr>
        <w:t>O</w:t>
      </w:r>
      <w:r w:rsidRPr="005C08C7">
        <w:rPr>
          <w:rFonts w:cs="Times New Roman"/>
          <w:b/>
          <w:bCs/>
          <w:szCs w:val="24"/>
        </w:rPr>
        <w:t xml:space="preserve">ffice Hours: </w:t>
      </w:r>
      <w:r w:rsidRPr="005C08C7">
        <w:rPr>
          <w:rFonts w:cs="Times New Roman"/>
          <w:szCs w:val="24"/>
        </w:rPr>
        <w:t xml:space="preserve">by appointment. I can also be reached by email at </w:t>
      </w:r>
      <w:r>
        <w:rPr>
          <w:rFonts w:cs="Times New Roman"/>
          <w:szCs w:val="24"/>
        </w:rPr>
        <w:t>toth.tihamer@jak.ppke.hu</w:t>
      </w:r>
    </w:p>
    <w:p w:rsidR="008A37DD" w:rsidRPr="005C08C7" w:rsidRDefault="008A37DD" w:rsidP="008A37DD">
      <w:pPr>
        <w:pStyle w:val="Default"/>
        <w:jc w:val="both"/>
        <w:rPr>
          <w:color w:val="auto"/>
          <w:lang w:val="en-US"/>
        </w:rPr>
      </w:pPr>
    </w:p>
    <w:p w:rsidR="008A37DD" w:rsidRPr="005C08C7" w:rsidRDefault="008A37DD" w:rsidP="008A37DD">
      <w:pPr>
        <w:pStyle w:val="wText"/>
        <w:rPr>
          <w:rFonts w:cs="Times New Roman"/>
          <w:szCs w:val="24"/>
        </w:rPr>
      </w:pPr>
      <w:r w:rsidRPr="005C08C7">
        <w:rPr>
          <w:rFonts w:cs="Times New Roman"/>
          <w:b/>
          <w:bCs/>
          <w:szCs w:val="24"/>
        </w:rPr>
        <w:t xml:space="preserve">Materials: </w:t>
      </w:r>
      <w:r w:rsidRPr="00203FA5">
        <w:rPr>
          <w:rFonts w:cs="Times New Roman"/>
          <w:bCs/>
          <w:szCs w:val="24"/>
        </w:rPr>
        <w:t>We w</w:t>
      </w:r>
      <w:r>
        <w:rPr>
          <w:rFonts w:cs="Times New Roman"/>
          <w:szCs w:val="24"/>
        </w:rPr>
        <w:t xml:space="preserve">ill use selected texts and cases. Students will either get the internet links to these or get a copy in advance. </w:t>
      </w:r>
    </w:p>
    <w:p w:rsidR="008A37DD" w:rsidRPr="005C08C7" w:rsidRDefault="008A37DD" w:rsidP="008A37DD">
      <w:pPr>
        <w:pStyle w:val="Default"/>
        <w:jc w:val="both"/>
        <w:rPr>
          <w:color w:val="auto"/>
          <w:lang w:val="en-US"/>
        </w:rPr>
      </w:pPr>
    </w:p>
    <w:p w:rsidR="008A37DD" w:rsidRPr="005C08C7" w:rsidRDefault="008A37DD" w:rsidP="008A37DD">
      <w:pPr>
        <w:pStyle w:val="Default"/>
        <w:jc w:val="both"/>
        <w:rPr>
          <w:color w:val="auto"/>
          <w:lang w:val="en-US"/>
        </w:rPr>
      </w:pPr>
      <w:r w:rsidRPr="005C08C7">
        <w:rPr>
          <w:b/>
          <w:bCs/>
          <w:color w:val="auto"/>
          <w:lang w:val="en-US"/>
        </w:rPr>
        <w:t xml:space="preserve">Requirements and Grading: </w:t>
      </w:r>
      <w:r w:rsidRPr="005C08C7">
        <w:rPr>
          <w:color w:val="auto"/>
          <w:lang w:val="en-US"/>
        </w:rPr>
        <w:t>This seminar meets once each week for 90 minutes. It is therefore important that you attend every meeting and come prepared to di</w:t>
      </w:r>
      <w:r>
        <w:rPr>
          <w:color w:val="auto"/>
          <w:lang w:val="en-US"/>
        </w:rPr>
        <w:t xml:space="preserve">scuss the assigned readings. </w:t>
      </w:r>
    </w:p>
    <w:p w:rsidR="008A37DD" w:rsidRPr="005C08C7" w:rsidRDefault="008A37DD" w:rsidP="008A37DD">
      <w:pPr>
        <w:pStyle w:val="Default"/>
        <w:jc w:val="both"/>
        <w:rPr>
          <w:color w:val="auto"/>
          <w:lang w:val="en-US"/>
        </w:rPr>
      </w:pPr>
      <w:r w:rsidRPr="005C08C7">
        <w:rPr>
          <w:color w:val="auto"/>
          <w:lang w:val="en-US"/>
        </w:rPr>
        <w:t>Your final grade in this course will be comprised of (1) your</w:t>
      </w:r>
      <w:r>
        <w:rPr>
          <w:color w:val="auto"/>
          <w:lang w:val="en-US"/>
        </w:rPr>
        <w:t xml:space="preserve"> research-and-writing project (30%),</w:t>
      </w:r>
      <w:r w:rsidRPr="005C08C7">
        <w:rPr>
          <w:color w:val="auto"/>
          <w:lang w:val="en-US"/>
        </w:rPr>
        <w:t xml:space="preserve"> (2) y</w:t>
      </w:r>
      <w:r>
        <w:rPr>
          <w:color w:val="auto"/>
          <w:lang w:val="en-US"/>
        </w:rPr>
        <w:t>our contributions to our discussion</w:t>
      </w:r>
      <w:r w:rsidRPr="005C08C7">
        <w:rPr>
          <w:color w:val="auto"/>
          <w:lang w:val="en-US"/>
        </w:rPr>
        <w:t>s (</w:t>
      </w:r>
      <w:r w:rsidR="007E33FE">
        <w:rPr>
          <w:color w:val="auto"/>
          <w:lang w:val="en-US"/>
        </w:rPr>
        <w:t>5</w:t>
      </w:r>
      <w:r>
        <w:rPr>
          <w:color w:val="auto"/>
          <w:lang w:val="en-US"/>
        </w:rPr>
        <w:t>0</w:t>
      </w:r>
      <w:r w:rsidRPr="005C08C7">
        <w:rPr>
          <w:color w:val="auto"/>
          <w:lang w:val="en-US"/>
        </w:rPr>
        <w:t>%)</w:t>
      </w:r>
      <w:r>
        <w:rPr>
          <w:color w:val="auto"/>
          <w:lang w:val="en-US"/>
        </w:rPr>
        <w:t xml:space="preserve"> and (3) the result of an interim test (20%)</w:t>
      </w:r>
      <w:r w:rsidRPr="005C08C7">
        <w:rPr>
          <w:color w:val="auto"/>
          <w:lang w:val="en-US"/>
        </w:rPr>
        <w:t xml:space="preserve">. </w:t>
      </w:r>
    </w:p>
    <w:p w:rsidR="008A37DD" w:rsidRPr="005C08C7" w:rsidRDefault="008A37DD" w:rsidP="008A37DD">
      <w:pPr>
        <w:pStyle w:val="Default"/>
        <w:jc w:val="both"/>
        <w:rPr>
          <w:color w:val="auto"/>
          <w:lang w:val="en-US"/>
        </w:rPr>
      </w:pPr>
      <w:r w:rsidRPr="005C08C7">
        <w:rPr>
          <w:color w:val="auto"/>
          <w:lang w:val="en-US"/>
        </w:rPr>
        <w:t xml:space="preserve">With respect to (1), you </w:t>
      </w:r>
      <w:r>
        <w:rPr>
          <w:color w:val="auto"/>
          <w:lang w:val="en-US"/>
        </w:rPr>
        <w:t>are expected to</w:t>
      </w:r>
      <w:r w:rsidRPr="005C08C7">
        <w:rPr>
          <w:color w:val="auto"/>
          <w:lang w:val="en-US"/>
        </w:rPr>
        <w:t xml:space="preserve"> write an essay of approximately </w:t>
      </w:r>
      <w:r>
        <w:rPr>
          <w:color w:val="auto"/>
          <w:lang w:val="en-US"/>
        </w:rPr>
        <w:t xml:space="preserve">3000 words </w:t>
      </w:r>
      <w:r w:rsidRPr="005C08C7">
        <w:rPr>
          <w:color w:val="auto"/>
          <w:lang w:val="en-US"/>
        </w:rPr>
        <w:t>on a topic discussed with the lecturer</w:t>
      </w:r>
      <w:r>
        <w:rPr>
          <w:color w:val="auto"/>
          <w:lang w:val="en-US"/>
        </w:rPr>
        <w:t>.</w:t>
      </w:r>
      <w:r w:rsidRPr="005C08C7">
        <w:rPr>
          <w:color w:val="auto"/>
          <w:lang w:val="en-US"/>
        </w:rPr>
        <w:t xml:space="preserve"> Students </w:t>
      </w:r>
      <w:r>
        <w:rPr>
          <w:color w:val="auto"/>
          <w:lang w:val="en-US"/>
        </w:rPr>
        <w:t>can submit</w:t>
      </w:r>
      <w:r w:rsidRPr="005C08C7">
        <w:rPr>
          <w:color w:val="auto"/>
          <w:lang w:val="en-US"/>
        </w:rPr>
        <w:t xml:space="preserve"> their </w:t>
      </w:r>
      <w:r>
        <w:rPr>
          <w:color w:val="auto"/>
          <w:lang w:val="en-US"/>
        </w:rPr>
        <w:t>essays</w:t>
      </w:r>
      <w:r w:rsidRPr="005C08C7">
        <w:rPr>
          <w:color w:val="auto"/>
          <w:lang w:val="en-US"/>
        </w:rPr>
        <w:t xml:space="preserve"> </w:t>
      </w:r>
      <w:r>
        <w:rPr>
          <w:color w:val="auto"/>
          <w:lang w:val="en-US"/>
        </w:rPr>
        <w:t xml:space="preserve">before the last meeting </w:t>
      </w:r>
      <w:r w:rsidRPr="005C08C7">
        <w:rPr>
          <w:color w:val="auto"/>
          <w:lang w:val="en-US"/>
        </w:rPr>
        <w:t xml:space="preserve">via </w:t>
      </w:r>
      <w:r w:rsidRPr="005C08C7">
        <w:rPr>
          <w:bCs/>
          <w:color w:val="auto"/>
          <w:lang w:val="en-US"/>
        </w:rPr>
        <w:t>e-mail</w:t>
      </w:r>
      <w:r>
        <w:rPr>
          <w:color w:val="auto"/>
          <w:lang w:val="en-US"/>
        </w:rPr>
        <w:t xml:space="preserve"> or in person. I am happy to see and comment outlines of the essays presented to me at the 6</w:t>
      </w:r>
      <w:r w:rsidRPr="00CD5EBB">
        <w:rPr>
          <w:color w:val="auto"/>
          <w:vertAlign w:val="superscript"/>
          <w:lang w:val="en-US"/>
        </w:rPr>
        <w:t>th</w:t>
      </w:r>
      <w:r>
        <w:rPr>
          <w:color w:val="auto"/>
          <w:lang w:val="en-US"/>
        </w:rPr>
        <w:t>-8</w:t>
      </w:r>
      <w:r w:rsidRPr="00CD5EBB">
        <w:rPr>
          <w:color w:val="auto"/>
          <w:vertAlign w:val="superscript"/>
          <w:lang w:val="en-US"/>
        </w:rPr>
        <w:t>th</w:t>
      </w:r>
      <w:r>
        <w:rPr>
          <w:color w:val="auto"/>
          <w:lang w:val="en-US"/>
        </w:rPr>
        <w:t xml:space="preserve"> classes.</w:t>
      </w:r>
    </w:p>
    <w:p w:rsidR="008A37DD" w:rsidRDefault="008A37DD" w:rsidP="008A37DD">
      <w:pPr>
        <w:pStyle w:val="Default"/>
        <w:jc w:val="both"/>
        <w:rPr>
          <w:color w:val="auto"/>
          <w:lang w:val="en-US"/>
        </w:rPr>
      </w:pPr>
      <w:r w:rsidRPr="005C08C7">
        <w:rPr>
          <w:color w:val="auto"/>
          <w:lang w:val="en-US"/>
        </w:rPr>
        <w:t>With respect to (2), your gr</w:t>
      </w:r>
      <w:r>
        <w:rPr>
          <w:color w:val="auto"/>
          <w:lang w:val="en-US"/>
        </w:rPr>
        <w:t>ade will be based on attendance and active</w:t>
      </w:r>
      <w:r w:rsidRPr="005C08C7">
        <w:rPr>
          <w:color w:val="auto"/>
          <w:lang w:val="en-US"/>
        </w:rPr>
        <w:t xml:space="preserve"> participation</w:t>
      </w:r>
      <w:r>
        <w:rPr>
          <w:color w:val="auto"/>
          <w:lang w:val="en-US"/>
        </w:rPr>
        <w:t xml:space="preserve">, including occasional </w:t>
      </w:r>
      <w:r w:rsidR="000364C8">
        <w:rPr>
          <w:color w:val="auto"/>
          <w:lang w:val="en-US"/>
        </w:rPr>
        <w:t xml:space="preserve">home and </w:t>
      </w:r>
      <w:bookmarkStart w:id="0" w:name="_GoBack"/>
      <w:bookmarkEnd w:id="0"/>
      <w:r>
        <w:rPr>
          <w:color w:val="auto"/>
          <w:lang w:val="en-US"/>
        </w:rPr>
        <w:t>team-work</w:t>
      </w:r>
      <w:r w:rsidRPr="005C08C7">
        <w:rPr>
          <w:color w:val="auto"/>
          <w:lang w:val="en-US"/>
        </w:rPr>
        <w:t xml:space="preserve">. </w:t>
      </w:r>
      <w:r>
        <w:rPr>
          <w:color w:val="auto"/>
          <w:lang w:val="en-US"/>
        </w:rPr>
        <w:t xml:space="preserve">Missing more than two lectures will have a negative impact on the grade. </w:t>
      </w:r>
      <w:r w:rsidRPr="005C08C7">
        <w:rPr>
          <w:bCs/>
          <w:color w:val="auto"/>
          <w:lang w:val="en-US"/>
        </w:rPr>
        <w:t>Each of you is expected to be in a position</w:t>
      </w:r>
      <w:r>
        <w:rPr>
          <w:bCs/>
          <w:color w:val="auto"/>
          <w:lang w:val="en-US"/>
        </w:rPr>
        <w:t xml:space="preserve"> </w:t>
      </w:r>
      <w:r w:rsidRPr="005C08C7">
        <w:rPr>
          <w:bCs/>
          <w:color w:val="auto"/>
          <w:lang w:val="en-US"/>
        </w:rPr>
        <w:t>to contribute to the discussions of the readings</w:t>
      </w:r>
      <w:r w:rsidRPr="005C08C7">
        <w:rPr>
          <w:color w:val="auto"/>
          <w:lang w:val="en-US"/>
        </w:rPr>
        <w:t xml:space="preserve">. </w:t>
      </w:r>
      <w:r>
        <w:rPr>
          <w:color w:val="auto"/>
          <w:lang w:val="en-US"/>
        </w:rPr>
        <w:t>S</w:t>
      </w:r>
      <w:r w:rsidRPr="005C08C7">
        <w:rPr>
          <w:color w:val="auto"/>
          <w:lang w:val="en-US"/>
        </w:rPr>
        <w:t>tudent</w:t>
      </w:r>
      <w:r>
        <w:rPr>
          <w:color w:val="auto"/>
          <w:lang w:val="en-US"/>
        </w:rPr>
        <w:t>s</w:t>
      </w:r>
      <w:r w:rsidRPr="005C08C7">
        <w:rPr>
          <w:color w:val="auto"/>
          <w:lang w:val="en-US"/>
        </w:rPr>
        <w:t xml:space="preserve"> </w:t>
      </w:r>
      <w:r>
        <w:rPr>
          <w:color w:val="auto"/>
          <w:lang w:val="en-US"/>
        </w:rPr>
        <w:t>are expected to give</w:t>
      </w:r>
      <w:r w:rsidRPr="005C08C7">
        <w:rPr>
          <w:color w:val="auto"/>
          <w:lang w:val="en-US"/>
        </w:rPr>
        <w:t xml:space="preserve"> a 15-</w:t>
      </w:r>
      <w:r>
        <w:rPr>
          <w:color w:val="auto"/>
          <w:lang w:val="en-US"/>
        </w:rPr>
        <w:t xml:space="preserve">20 </w:t>
      </w:r>
      <w:r w:rsidRPr="005C08C7">
        <w:rPr>
          <w:color w:val="auto"/>
          <w:lang w:val="en-US"/>
        </w:rPr>
        <w:t>minute in-class presentation</w:t>
      </w:r>
      <w:r w:rsidRPr="002527C0">
        <w:rPr>
          <w:color w:val="auto"/>
          <w:lang w:val="en-US"/>
        </w:rPr>
        <w:t xml:space="preserve"> </w:t>
      </w:r>
      <w:r>
        <w:rPr>
          <w:color w:val="auto"/>
          <w:lang w:val="en-US"/>
        </w:rPr>
        <w:t>based on the assigned materials</w:t>
      </w:r>
      <w:r w:rsidRPr="005C08C7">
        <w:rPr>
          <w:color w:val="auto"/>
          <w:lang w:val="en-US"/>
        </w:rPr>
        <w:t>.</w:t>
      </w:r>
      <w:r>
        <w:rPr>
          <w:color w:val="auto"/>
          <w:lang w:val="en-US"/>
        </w:rPr>
        <w:t xml:space="preserve"> </w:t>
      </w:r>
    </w:p>
    <w:p w:rsidR="008A37DD" w:rsidRPr="005C08C7" w:rsidRDefault="008A37DD" w:rsidP="008A37DD">
      <w:pPr>
        <w:pStyle w:val="Default"/>
        <w:jc w:val="both"/>
        <w:rPr>
          <w:color w:val="auto"/>
          <w:lang w:val="en-US"/>
        </w:rPr>
      </w:pPr>
      <w:r>
        <w:rPr>
          <w:color w:val="auto"/>
          <w:lang w:val="en-US"/>
        </w:rPr>
        <w:t xml:space="preserve">As to (3), you will write a short test proving your knowledge of the most important institutions and principles of EU competition law. This test is planned for the </w:t>
      </w:r>
      <w:r w:rsidRPr="00DC5636">
        <w:rPr>
          <w:color w:val="auto"/>
          <w:lang w:val="en-US"/>
        </w:rPr>
        <w:t>#</w:t>
      </w:r>
      <w:r w:rsidR="007E33FE">
        <w:rPr>
          <w:color w:val="auto"/>
          <w:lang w:val="en-US"/>
        </w:rPr>
        <w:t>5</w:t>
      </w:r>
      <w:r>
        <w:rPr>
          <w:color w:val="auto"/>
          <w:lang w:val="en-US"/>
        </w:rPr>
        <w:t xml:space="preserve"> meeting.</w:t>
      </w:r>
    </w:p>
    <w:p w:rsidR="008A37DD" w:rsidRDefault="008A37DD" w:rsidP="008A37DD">
      <w:pPr>
        <w:pStyle w:val="Default"/>
        <w:jc w:val="both"/>
        <w:rPr>
          <w:color w:val="auto"/>
          <w:lang w:val="en-US"/>
        </w:rPr>
      </w:pPr>
    </w:p>
    <w:p w:rsidR="007D7803" w:rsidRDefault="007D7803" w:rsidP="008A37DD">
      <w:pPr>
        <w:pStyle w:val="Default"/>
        <w:jc w:val="both"/>
        <w:rPr>
          <w:b/>
          <w:color w:val="auto"/>
          <w:lang w:val="en-US"/>
        </w:rPr>
      </w:pPr>
      <w:r>
        <w:rPr>
          <w:b/>
          <w:color w:val="auto"/>
          <w:lang w:val="en-US"/>
        </w:rPr>
        <w:t xml:space="preserve">Required readings: </w:t>
      </w:r>
    </w:p>
    <w:p w:rsidR="007D7803" w:rsidRPr="007E33FE" w:rsidRDefault="00CB52B2" w:rsidP="008A37DD">
      <w:pPr>
        <w:pStyle w:val="Default"/>
        <w:jc w:val="both"/>
        <w:rPr>
          <w:color w:val="auto"/>
          <w:lang w:val="en-US"/>
        </w:rPr>
      </w:pPr>
      <w:proofErr w:type="spellStart"/>
      <w:r w:rsidRPr="007E33FE">
        <w:rPr>
          <w:color w:val="auto"/>
          <w:lang w:val="en-US"/>
        </w:rPr>
        <w:t>Pp</w:t>
      </w:r>
      <w:proofErr w:type="spellEnd"/>
      <w:r w:rsidRPr="007E33FE">
        <w:rPr>
          <w:color w:val="auto"/>
          <w:lang w:val="en-US"/>
        </w:rPr>
        <w:t xml:space="preserve"> 5-55: http://www.oecd.org/daf/competition/prosecutionandlawenforcement/35908641.pdf</w:t>
      </w:r>
    </w:p>
    <w:p w:rsidR="007D7803" w:rsidRDefault="007D7803" w:rsidP="008A37DD">
      <w:pPr>
        <w:pStyle w:val="Default"/>
        <w:jc w:val="both"/>
        <w:rPr>
          <w:color w:val="auto"/>
          <w:lang w:val="en-US"/>
        </w:rPr>
      </w:pPr>
      <w:r w:rsidRPr="007D7803">
        <w:rPr>
          <w:color w:val="auto"/>
          <w:lang w:val="en-US"/>
        </w:rPr>
        <w:t>TFEU Articles: 37, 101, 102, 106, 107, 108</w:t>
      </w:r>
    </w:p>
    <w:p w:rsidR="00CB52B2" w:rsidRPr="007D7803" w:rsidRDefault="007E33FE" w:rsidP="008A37DD">
      <w:pPr>
        <w:pStyle w:val="Default"/>
        <w:jc w:val="both"/>
        <w:rPr>
          <w:color w:val="auto"/>
          <w:lang w:val="en-US"/>
        </w:rPr>
      </w:pPr>
      <w:r>
        <w:rPr>
          <w:color w:val="auto"/>
          <w:lang w:val="en-US"/>
        </w:rPr>
        <w:t>Regulations: 1/2003, 33/2010</w:t>
      </w:r>
      <w:r w:rsidR="00CB52B2">
        <w:rPr>
          <w:color w:val="auto"/>
          <w:lang w:val="en-US"/>
        </w:rPr>
        <w:t xml:space="preserve"> </w:t>
      </w:r>
    </w:p>
    <w:p w:rsidR="007D7803" w:rsidRDefault="007D7803" w:rsidP="008A37DD">
      <w:pPr>
        <w:pStyle w:val="Default"/>
        <w:jc w:val="both"/>
        <w:rPr>
          <w:b/>
          <w:color w:val="auto"/>
          <w:lang w:val="en-US"/>
        </w:rPr>
      </w:pPr>
    </w:p>
    <w:p w:rsidR="008A37DD" w:rsidRDefault="008A37DD" w:rsidP="008A37DD">
      <w:pPr>
        <w:pStyle w:val="Default"/>
        <w:jc w:val="both"/>
        <w:rPr>
          <w:color w:val="auto"/>
          <w:lang w:val="en-US"/>
        </w:rPr>
      </w:pPr>
      <w:r>
        <w:rPr>
          <w:b/>
          <w:color w:val="auto"/>
          <w:lang w:val="en-US"/>
        </w:rPr>
        <w:t>Size of the seminar</w:t>
      </w:r>
      <w:r>
        <w:rPr>
          <w:color w:val="auto"/>
          <w:lang w:val="en-US"/>
        </w:rPr>
        <w:t xml:space="preserve">: the seminar will start with 5 students, but with no more than 20. </w:t>
      </w:r>
    </w:p>
    <w:p w:rsidR="007D7803" w:rsidRDefault="007D7803" w:rsidP="008A37DD">
      <w:pPr>
        <w:pStyle w:val="Default"/>
        <w:jc w:val="both"/>
        <w:rPr>
          <w:color w:val="auto"/>
          <w:lang w:val="en-US"/>
        </w:rPr>
      </w:pPr>
    </w:p>
    <w:p w:rsidR="007D7803" w:rsidRDefault="007D7803" w:rsidP="008A37DD">
      <w:pPr>
        <w:pStyle w:val="Default"/>
        <w:jc w:val="both"/>
        <w:rPr>
          <w:color w:val="auto"/>
          <w:lang w:val="en-US"/>
        </w:rPr>
      </w:pPr>
    </w:p>
    <w:p w:rsidR="008A37DD" w:rsidRDefault="008A37DD" w:rsidP="008A37DD">
      <w:pPr>
        <w:pStyle w:val="Default"/>
        <w:jc w:val="both"/>
        <w:rPr>
          <w:color w:val="auto"/>
          <w:lang w:val="en-US"/>
        </w:rPr>
      </w:pPr>
    </w:p>
    <w:p w:rsidR="008A37DD" w:rsidRDefault="008A37DD" w:rsidP="008A37DD">
      <w:pPr>
        <w:pStyle w:val="wText"/>
        <w:rPr>
          <w:rFonts w:cs="Times New Roman"/>
          <w:b/>
          <w:szCs w:val="24"/>
          <w:u w:val="single"/>
        </w:rPr>
      </w:pPr>
    </w:p>
    <w:p w:rsidR="00573158" w:rsidRDefault="00573158" w:rsidP="008A37DD">
      <w:pPr>
        <w:pStyle w:val="wText"/>
        <w:rPr>
          <w:rFonts w:cs="Times New Roman"/>
          <w:b/>
          <w:szCs w:val="24"/>
          <w:u w:val="single"/>
        </w:rPr>
      </w:pPr>
    </w:p>
    <w:p w:rsidR="00573158" w:rsidRDefault="00573158" w:rsidP="008A37DD">
      <w:pPr>
        <w:pStyle w:val="wText"/>
        <w:rPr>
          <w:rFonts w:cs="Times New Roman"/>
          <w:b/>
          <w:szCs w:val="24"/>
          <w:u w:val="single"/>
        </w:rPr>
      </w:pPr>
    </w:p>
    <w:p w:rsidR="008A37DD" w:rsidRPr="005C08C7" w:rsidRDefault="008A37DD" w:rsidP="008A37DD">
      <w:pPr>
        <w:pStyle w:val="wText"/>
        <w:rPr>
          <w:rFonts w:cs="Times New Roman"/>
          <w:b/>
          <w:szCs w:val="24"/>
          <w:u w:val="single"/>
        </w:rPr>
      </w:pPr>
      <w:r w:rsidRPr="005C08C7">
        <w:rPr>
          <w:rFonts w:cs="Times New Roman"/>
          <w:b/>
          <w:szCs w:val="24"/>
          <w:u w:val="single"/>
        </w:rPr>
        <w:t>Course plan</w:t>
      </w:r>
    </w:p>
    <w:p w:rsidR="008A37DD" w:rsidRDefault="008A37DD" w:rsidP="008A37DD">
      <w:pPr>
        <w:pStyle w:val="wText"/>
        <w:rPr>
          <w:rFonts w:cs="Times New Roman"/>
          <w:szCs w:val="24"/>
        </w:rPr>
      </w:pPr>
    </w:p>
    <w:p w:rsidR="008A37DD" w:rsidRPr="00181BD0" w:rsidRDefault="008A37DD" w:rsidP="008A37DD">
      <w:pPr>
        <w:pStyle w:val="wText"/>
        <w:numPr>
          <w:ilvl w:val="0"/>
          <w:numId w:val="1"/>
        </w:numPr>
        <w:rPr>
          <w:rFonts w:cs="Times New Roman"/>
          <w:b/>
          <w:szCs w:val="24"/>
        </w:rPr>
      </w:pPr>
      <w:r>
        <w:rPr>
          <w:rFonts w:cs="Times New Roman"/>
          <w:b/>
          <w:szCs w:val="24"/>
        </w:rPr>
        <w:t xml:space="preserve">An overview of EU and Hungarian competition rules and </w:t>
      </w:r>
      <w:r w:rsidRPr="00181BD0">
        <w:rPr>
          <w:rFonts w:cs="Times New Roman"/>
          <w:b/>
          <w:szCs w:val="24"/>
        </w:rPr>
        <w:t>institutions</w:t>
      </w:r>
    </w:p>
    <w:p w:rsidR="00D15C80" w:rsidRDefault="00D15C80" w:rsidP="008A37DD">
      <w:pPr>
        <w:pStyle w:val="wText"/>
        <w:numPr>
          <w:ilvl w:val="0"/>
          <w:numId w:val="14"/>
        </w:numPr>
        <w:rPr>
          <w:rFonts w:cs="Times New Roman"/>
          <w:szCs w:val="24"/>
        </w:rPr>
      </w:pPr>
      <w:r>
        <w:rPr>
          <w:rFonts w:cs="Times New Roman"/>
          <w:szCs w:val="24"/>
        </w:rPr>
        <w:t>The aims of competition policy</w:t>
      </w:r>
    </w:p>
    <w:p w:rsidR="008A37DD" w:rsidRDefault="008A37DD" w:rsidP="008A37DD">
      <w:pPr>
        <w:pStyle w:val="wText"/>
        <w:numPr>
          <w:ilvl w:val="0"/>
          <w:numId w:val="14"/>
        </w:numPr>
        <w:rPr>
          <w:rFonts w:cs="Times New Roman"/>
          <w:szCs w:val="24"/>
        </w:rPr>
      </w:pPr>
      <w:r w:rsidRPr="000E0371">
        <w:rPr>
          <w:rFonts w:cs="Times New Roman"/>
          <w:szCs w:val="24"/>
        </w:rPr>
        <w:t xml:space="preserve">Sources </w:t>
      </w:r>
      <w:r>
        <w:rPr>
          <w:rFonts w:cs="Times New Roman"/>
          <w:szCs w:val="24"/>
        </w:rPr>
        <w:t xml:space="preserve">and hierarchy </w:t>
      </w:r>
      <w:r w:rsidRPr="000E0371">
        <w:rPr>
          <w:rFonts w:cs="Times New Roman"/>
          <w:szCs w:val="24"/>
        </w:rPr>
        <w:t>of EU law</w:t>
      </w:r>
      <w:r>
        <w:rPr>
          <w:rFonts w:cs="Times New Roman"/>
          <w:szCs w:val="24"/>
        </w:rPr>
        <w:t xml:space="preserve">: treaties, regulations, directives, the case law of EU courts, soft law instruments, useful websites </w:t>
      </w:r>
    </w:p>
    <w:p w:rsidR="008A37DD" w:rsidRDefault="008A37DD" w:rsidP="008A37DD">
      <w:pPr>
        <w:pStyle w:val="wText"/>
        <w:numPr>
          <w:ilvl w:val="0"/>
          <w:numId w:val="14"/>
        </w:numPr>
        <w:rPr>
          <w:rFonts w:cs="Times New Roman"/>
          <w:szCs w:val="24"/>
        </w:rPr>
      </w:pPr>
      <w:r>
        <w:rPr>
          <w:rFonts w:cs="Times New Roman"/>
          <w:szCs w:val="24"/>
        </w:rPr>
        <w:t xml:space="preserve">The parallel existence of EU and national competition rules; </w:t>
      </w:r>
      <w:r w:rsidR="009325E7">
        <w:rPr>
          <w:rFonts w:cs="Times New Roman"/>
          <w:szCs w:val="24"/>
        </w:rPr>
        <w:t xml:space="preserve">“may affect trade between MSs”, </w:t>
      </w:r>
      <w:r>
        <w:rPr>
          <w:rFonts w:cs="Times New Roman"/>
          <w:szCs w:val="24"/>
        </w:rPr>
        <w:t>supremacy</w:t>
      </w:r>
      <w:r w:rsidRPr="00925D7D">
        <w:rPr>
          <w:rFonts w:cs="Times New Roman"/>
          <w:szCs w:val="24"/>
        </w:rPr>
        <w:t xml:space="preserve"> </w:t>
      </w:r>
      <w:r>
        <w:rPr>
          <w:rFonts w:cs="Times New Roman"/>
          <w:szCs w:val="24"/>
        </w:rPr>
        <w:t>and direct applicability</w:t>
      </w:r>
    </w:p>
    <w:p w:rsidR="008A37DD" w:rsidRDefault="008A37DD" w:rsidP="008A37DD">
      <w:pPr>
        <w:pStyle w:val="wText"/>
        <w:numPr>
          <w:ilvl w:val="0"/>
          <w:numId w:val="14"/>
        </w:numPr>
        <w:rPr>
          <w:rFonts w:cs="Times New Roman"/>
          <w:szCs w:val="24"/>
        </w:rPr>
      </w:pPr>
      <w:r>
        <w:rPr>
          <w:rFonts w:cs="Times New Roman"/>
          <w:szCs w:val="24"/>
        </w:rPr>
        <w:t>Law making: the Parliament, the Council</w:t>
      </w:r>
    </w:p>
    <w:p w:rsidR="008A37DD" w:rsidRDefault="008A37DD" w:rsidP="008A37DD">
      <w:pPr>
        <w:pStyle w:val="wText"/>
        <w:numPr>
          <w:ilvl w:val="0"/>
          <w:numId w:val="14"/>
        </w:numPr>
        <w:rPr>
          <w:rFonts w:cs="Times New Roman"/>
          <w:szCs w:val="24"/>
        </w:rPr>
      </w:pPr>
      <w:r>
        <w:rPr>
          <w:rFonts w:cs="Times New Roman"/>
          <w:szCs w:val="24"/>
        </w:rPr>
        <w:t>Public enforcement: the Commission, NCAs</w:t>
      </w:r>
    </w:p>
    <w:p w:rsidR="008A37DD" w:rsidRDefault="008A37DD" w:rsidP="008A37DD">
      <w:pPr>
        <w:pStyle w:val="wText"/>
        <w:numPr>
          <w:ilvl w:val="0"/>
          <w:numId w:val="14"/>
        </w:numPr>
        <w:rPr>
          <w:rFonts w:cs="Times New Roman"/>
          <w:szCs w:val="24"/>
        </w:rPr>
      </w:pPr>
      <w:r>
        <w:rPr>
          <w:rFonts w:cs="Times New Roman"/>
          <w:szCs w:val="24"/>
        </w:rPr>
        <w:t>The judicature: EU and national review courts, national courts (litigations), the importance of preliminary rulings</w:t>
      </w:r>
    </w:p>
    <w:p w:rsidR="007D7803" w:rsidRDefault="007D7803" w:rsidP="007D7803">
      <w:pPr>
        <w:pStyle w:val="wText"/>
        <w:ind w:left="720"/>
        <w:rPr>
          <w:rFonts w:cs="Times New Roman"/>
          <w:b/>
          <w:szCs w:val="24"/>
        </w:rPr>
      </w:pPr>
    </w:p>
    <w:p w:rsidR="008A37DD" w:rsidRPr="00D20862" w:rsidRDefault="009325E7" w:rsidP="009325E7">
      <w:pPr>
        <w:pStyle w:val="wText"/>
        <w:numPr>
          <w:ilvl w:val="0"/>
          <w:numId w:val="1"/>
        </w:numPr>
        <w:rPr>
          <w:rFonts w:cs="Times New Roman"/>
          <w:b/>
          <w:szCs w:val="24"/>
        </w:rPr>
      </w:pPr>
      <w:r>
        <w:rPr>
          <w:rFonts w:cs="Times New Roman"/>
          <w:b/>
          <w:szCs w:val="24"/>
        </w:rPr>
        <w:t>The s</w:t>
      </w:r>
      <w:r w:rsidR="00D15C80">
        <w:rPr>
          <w:rFonts w:cs="Times New Roman"/>
          <w:b/>
          <w:szCs w:val="24"/>
        </w:rPr>
        <w:t>cope of antitrust rules</w:t>
      </w:r>
      <w:r w:rsidR="008A37DD" w:rsidRPr="00D20862">
        <w:rPr>
          <w:rFonts w:cs="Times New Roman"/>
          <w:b/>
          <w:szCs w:val="24"/>
        </w:rPr>
        <w:t xml:space="preserve"> </w:t>
      </w:r>
    </w:p>
    <w:p w:rsidR="00D15C80" w:rsidRDefault="00D15C80" w:rsidP="008A37DD">
      <w:pPr>
        <w:pStyle w:val="wText"/>
        <w:numPr>
          <w:ilvl w:val="0"/>
          <w:numId w:val="5"/>
        </w:numPr>
        <w:rPr>
          <w:rFonts w:cs="Times New Roman"/>
          <w:szCs w:val="24"/>
        </w:rPr>
      </w:pPr>
      <w:r>
        <w:rPr>
          <w:rFonts w:cs="Times New Roman"/>
          <w:szCs w:val="24"/>
        </w:rPr>
        <w:t>The wording and structure of Articles 101 and 102 TFEU</w:t>
      </w:r>
    </w:p>
    <w:p w:rsidR="008A37DD" w:rsidRDefault="008A37DD" w:rsidP="008A37DD">
      <w:pPr>
        <w:pStyle w:val="wText"/>
        <w:numPr>
          <w:ilvl w:val="0"/>
          <w:numId w:val="5"/>
        </w:numPr>
        <w:rPr>
          <w:rFonts w:cs="Times New Roman"/>
          <w:szCs w:val="24"/>
        </w:rPr>
      </w:pPr>
      <w:r>
        <w:rPr>
          <w:rFonts w:cs="Times New Roman"/>
          <w:szCs w:val="24"/>
        </w:rPr>
        <w:t>The definition of undertakings</w:t>
      </w:r>
      <w:r w:rsidR="00D15C80">
        <w:rPr>
          <w:rFonts w:cs="Times New Roman"/>
          <w:szCs w:val="24"/>
        </w:rPr>
        <w:t>, intra economic unit restrictions, agency agreements</w:t>
      </w:r>
    </w:p>
    <w:p w:rsidR="008A37DD" w:rsidRDefault="00D15C80" w:rsidP="008A37DD">
      <w:pPr>
        <w:pStyle w:val="wText"/>
        <w:numPr>
          <w:ilvl w:val="0"/>
          <w:numId w:val="5"/>
        </w:numPr>
        <w:rPr>
          <w:rFonts w:cs="Times New Roman"/>
          <w:szCs w:val="24"/>
        </w:rPr>
      </w:pPr>
      <w:r>
        <w:rPr>
          <w:rFonts w:cs="Times New Roman"/>
          <w:szCs w:val="24"/>
        </w:rPr>
        <w:t>E</w:t>
      </w:r>
      <w:r w:rsidR="008A37DD">
        <w:rPr>
          <w:rFonts w:cs="Times New Roman"/>
          <w:szCs w:val="24"/>
        </w:rPr>
        <w:t>xtraterritorial enforcement of competition rules</w:t>
      </w:r>
    </w:p>
    <w:p w:rsidR="009065EF" w:rsidRDefault="009065EF" w:rsidP="008A37DD">
      <w:pPr>
        <w:pStyle w:val="wText"/>
        <w:numPr>
          <w:ilvl w:val="0"/>
          <w:numId w:val="5"/>
        </w:numPr>
        <w:rPr>
          <w:rFonts w:cs="Times New Roman"/>
          <w:szCs w:val="24"/>
        </w:rPr>
      </w:pPr>
      <w:r>
        <w:rPr>
          <w:rFonts w:cs="Times New Roman"/>
          <w:szCs w:val="24"/>
        </w:rPr>
        <w:t>Sectorial scope</w:t>
      </w:r>
    </w:p>
    <w:p w:rsidR="009065EF" w:rsidRPr="009065EF" w:rsidRDefault="009065EF" w:rsidP="008A37DD">
      <w:pPr>
        <w:pStyle w:val="wText"/>
        <w:rPr>
          <w:rFonts w:cs="Times New Roman"/>
          <w:i/>
          <w:szCs w:val="24"/>
        </w:rPr>
      </w:pPr>
      <w:r w:rsidRPr="009065EF">
        <w:rPr>
          <w:rFonts w:cs="Times New Roman"/>
          <w:i/>
          <w:szCs w:val="24"/>
        </w:rPr>
        <w:t>Suggested reading:</w:t>
      </w:r>
    </w:p>
    <w:p w:rsidR="00D15C80" w:rsidRDefault="009065EF" w:rsidP="008A37DD">
      <w:pPr>
        <w:pStyle w:val="wText"/>
      </w:pPr>
      <w:r>
        <w:rPr>
          <w:rFonts w:cs="Times New Roman"/>
          <w:szCs w:val="24"/>
        </w:rPr>
        <w:t xml:space="preserve">Tihamér Tóth: </w:t>
      </w:r>
      <w:r w:rsidRPr="00175B9D">
        <w:t xml:space="preserve">The fall of agricultural cartel enforcement in Hungary; European Competition Law Review, </w:t>
      </w:r>
      <w:r>
        <w:t>2013 34 E.C.L.R. issue 7 359-</w:t>
      </w:r>
      <w:proofErr w:type="gramStart"/>
      <w:r>
        <w:t>366  (</w:t>
      </w:r>
      <w:proofErr w:type="gramEnd"/>
      <w:r w:rsidRPr="00F555D1">
        <w:rPr>
          <w:i/>
        </w:rPr>
        <w:t>will be e-mailed</w:t>
      </w:r>
      <w:r>
        <w:t>)</w:t>
      </w:r>
    </w:p>
    <w:p w:rsidR="007D7803" w:rsidRDefault="007D7803" w:rsidP="008A37DD">
      <w:pPr>
        <w:pStyle w:val="wText"/>
        <w:rPr>
          <w:rFonts w:cs="Times New Roman"/>
          <w:i/>
          <w:szCs w:val="24"/>
        </w:rPr>
      </w:pPr>
    </w:p>
    <w:p w:rsidR="009325E7" w:rsidRPr="009325E7" w:rsidRDefault="009325E7" w:rsidP="009325E7">
      <w:pPr>
        <w:pStyle w:val="wText"/>
        <w:numPr>
          <w:ilvl w:val="0"/>
          <w:numId w:val="1"/>
        </w:numPr>
        <w:rPr>
          <w:rFonts w:cs="Times New Roman"/>
          <w:b/>
          <w:szCs w:val="24"/>
        </w:rPr>
      </w:pPr>
      <w:r w:rsidRPr="009325E7">
        <w:rPr>
          <w:rFonts w:cs="Times New Roman"/>
          <w:b/>
          <w:szCs w:val="24"/>
        </w:rPr>
        <w:t>Cartels</w:t>
      </w:r>
    </w:p>
    <w:p w:rsidR="009325E7" w:rsidRDefault="009325E7" w:rsidP="009325E7">
      <w:pPr>
        <w:pStyle w:val="wText"/>
        <w:numPr>
          <w:ilvl w:val="0"/>
          <w:numId w:val="18"/>
        </w:numPr>
        <w:rPr>
          <w:rFonts w:cs="Times New Roman"/>
          <w:szCs w:val="24"/>
        </w:rPr>
      </w:pPr>
      <w:r>
        <w:rPr>
          <w:rFonts w:cs="Times New Roman"/>
          <w:szCs w:val="24"/>
        </w:rPr>
        <w:t>Definition, other forms of anti-competitive agreements</w:t>
      </w:r>
    </w:p>
    <w:p w:rsidR="009325E7" w:rsidRDefault="009325E7" w:rsidP="009325E7">
      <w:pPr>
        <w:pStyle w:val="wText"/>
        <w:numPr>
          <w:ilvl w:val="0"/>
          <w:numId w:val="18"/>
        </w:numPr>
        <w:rPr>
          <w:rFonts w:cs="Times New Roman"/>
          <w:szCs w:val="24"/>
        </w:rPr>
      </w:pPr>
      <w:r>
        <w:rPr>
          <w:rFonts w:cs="Times New Roman"/>
          <w:szCs w:val="24"/>
        </w:rPr>
        <w:t>Price setting, market sharing</w:t>
      </w:r>
    </w:p>
    <w:p w:rsidR="009325E7" w:rsidRDefault="009325E7" w:rsidP="009325E7">
      <w:pPr>
        <w:pStyle w:val="wText"/>
        <w:numPr>
          <w:ilvl w:val="0"/>
          <w:numId w:val="18"/>
        </w:numPr>
        <w:rPr>
          <w:rFonts w:cs="Times New Roman"/>
          <w:szCs w:val="24"/>
        </w:rPr>
      </w:pPr>
      <w:r>
        <w:rPr>
          <w:rFonts w:cs="Times New Roman"/>
          <w:szCs w:val="24"/>
        </w:rPr>
        <w:t>Public procurement cartels (Hungarian motorway construction bid rigging)</w:t>
      </w:r>
    </w:p>
    <w:p w:rsidR="009325E7" w:rsidRDefault="009325E7" w:rsidP="009325E7">
      <w:pPr>
        <w:pStyle w:val="wText"/>
        <w:numPr>
          <w:ilvl w:val="0"/>
          <w:numId w:val="18"/>
        </w:numPr>
        <w:rPr>
          <w:rFonts w:cs="Times New Roman"/>
          <w:szCs w:val="24"/>
        </w:rPr>
      </w:pPr>
      <w:r>
        <w:rPr>
          <w:rFonts w:cs="Times New Roman"/>
          <w:szCs w:val="24"/>
        </w:rPr>
        <w:lastRenderedPageBreak/>
        <w:t>The Hungarian Mortgage termination case (information exchange)</w:t>
      </w:r>
    </w:p>
    <w:p w:rsidR="009325E7" w:rsidRDefault="009325E7" w:rsidP="009325E7">
      <w:pPr>
        <w:pStyle w:val="wText"/>
        <w:numPr>
          <w:ilvl w:val="0"/>
          <w:numId w:val="18"/>
        </w:numPr>
        <w:rPr>
          <w:rFonts w:cs="Times New Roman"/>
          <w:szCs w:val="24"/>
        </w:rPr>
      </w:pPr>
      <w:r>
        <w:rPr>
          <w:rFonts w:cs="Times New Roman"/>
          <w:szCs w:val="24"/>
        </w:rPr>
        <w:t xml:space="preserve">The Irish Beef case (collective capacity reduction) </w:t>
      </w:r>
    </w:p>
    <w:p w:rsidR="009325E7" w:rsidRPr="009325E7" w:rsidRDefault="009325E7" w:rsidP="009325E7">
      <w:pPr>
        <w:pStyle w:val="wText"/>
        <w:numPr>
          <w:ilvl w:val="0"/>
          <w:numId w:val="18"/>
        </w:numPr>
        <w:rPr>
          <w:rFonts w:cs="Times New Roman"/>
          <w:szCs w:val="24"/>
        </w:rPr>
      </w:pPr>
      <w:r>
        <w:rPr>
          <w:rFonts w:cs="Times New Roman"/>
          <w:szCs w:val="24"/>
        </w:rPr>
        <w:t>Cartel detection: dawn raids and the role of leniency applications</w:t>
      </w:r>
    </w:p>
    <w:p w:rsidR="00573158" w:rsidRPr="00573158" w:rsidRDefault="00573158" w:rsidP="00573158">
      <w:pPr>
        <w:pStyle w:val="wText"/>
        <w:rPr>
          <w:rFonts w:cs="Times New Roman"/>
          <w:i/>
          <w:szCs w:val="24"/>
        </w:rPr>
      </w:pPr>
      <w:r w:rsidRPr="00573158">
        <w:rPr>
          <w:rFonts w:cs="Times New Roman"/>
          <w:i/>
          <w:szCs w:val="24"/>
        </w:rPr>
        <w:t>Suggested readings:</w:t>
      </w:r>
    </w:p>
    <w:p w:rsidR="007D7803" w:rsidRDefault="000364C8" w:rsidP="007D7803">
      <w:pPr>
        <w:pStyle w:val="wText"/>
        <w:numPr>
          <w:ilvl w:val="0"/>
          <w:numId w:val="18"/>
        </w:numPr>
        <w:rPr>
          <w:rFonts w:cs="Times New Roman"/>
          <w:szCs w:val="24"/>
        </w:rPr>
      </w:pPr>
      <w:hyperlink r:id="rId8" w:history="1">
        <w:r w:rsidR="007D7803" w:rsidRPr="001F2326">
          <w:rPr>
            <w:rStyle w:val="Hyperlink"/>
            <w:rFonts w:cs="Times New Roman"/>
            <w:szCs w:val="24"/>
          </w:rPr>
          <w:t>http://www.gvh.hu/en/resolutions/resolutions_of_the_competition_council/resolutions_2011/8455_hu_vj-742011873.html?query=bank</w:t>
        </w:r>
      </w:hyperlink>
    </w:p>
    <w:p w:rsidR="009065EF" w:rsidRDefault="000364C8" w:rsidP="009065EF">
      <w:pPr>
        <w:pStyle w:val="wText"/>
        <w:numPr>
          <w:ilvl w:val="0"/>
          <w:numId w:val="18"/>
        </w:numPr>
        <w:rPr>
          <w:rFonts w:cs="Times New Roman"/>
          <w:szCs w:val="24"/>
        </w:rPr>
      </w:pPr>
      <w:hyperlink r:id="rId9" w:history="1">
        <w:r w:rsidR="009065EF" w:rsidRPr="007C23F7">
          <w:rPr>
            <w:rStyle w:val="Hyperlink"/>
            <w:rFonts w:cs="Times New Roman"/>
            <w:szCs w:val="24"/>
          </w:rPr>
          <w:t>http://ec.europa.eu/competition/publications/cpn/2009_2_12.pdf</w:t>
        </w:r>
      </w:hyperlink>
    </w:p>
    <w:p w:rsidR="009065EF" w:rsidRDefault="000364C8" w:rsidP="009065EF">
      <w:pPr>
        <w:pStyle w:val="wText"/>
        <w:numPr>
          <w:ilvl w:val="0"/>
          <w:numId w:val="18"/>
        </w:numPr>
        <w:rPr>
          <w:rFonts w:cs="Times New Roman"/>
          <w:szCs w:val="24"/>
        </w:rPr>
      </w:pPr>
      <w:hyperlink r:id="rId10" w:history="1">
        <w:r w:rsidR="009065EF" w:rsidRPr="007C23F7">
          <w:rPr>
            <w:rStyle w:val="Hyperlink"/>
            <w:rFonts w:cs="Times New Roman"/>
            <w:szCs w:val="24"/>
          </w:rPr>
          <w:t>http://ec.europa.eu/competition/publications/cpn/2009_1_15.pdf</w:t>
        </w:r>
      </w:hyperlink>
    </w:p>
    <w:p w:rsidR="009065EF" w:rsidRDefault="000364C8" w:rsidP="009065EF">
      <w:pPr>
        <w:pStyle w:val="wText"/>
        <w:numPr>
          <w:ilvl w:val="0"/>
          <w:numId w:val="18"/>
        </w:numPr>
        <w:rPr>
          <w:rFonts w:cs="Times New Roman"/>
          <w:szCs w:val="24"/>
        </w:rPr>
      </w:pPr>
      <w:hyperlink r:id="rId11" w:history="1">
        <w:r w:rsidR="009065EF" w:rsidRPr="007C23F7">
          <w:rPr>
            <w:rStyle w:val="Hyperlink"/>
            <w:rFonts w:cs="Times New Roman"/>
            <w:szCs w:val="24"/>
          </w:rPr>
          <w:t>http://ec.europa.eu/competition/publications/cpn/2009_1_17.pdf</w:t>
        </w:r>
      </w:hyperlink>
    </w:p>
    <w:p w:rsidR="009065EF" w:rsidRDefault="000364C8" w:rsidP="009065EF">
      <w:pPr>
        <w:pStyle w:val="wText"/>
        <w:numPr>
          <w:ilvl w:val="0"/>
          <w:numId w:val="18"/>
        </w:numPr>
        <w:rPr>
          <w:rFonts w:cs="Times New Roman"/>
          <w:szCs w:val="24"/>
        </w:rPr>
      </w:pPr>
      <w:hyperlink r:id="rId12" w:history="1">
        <w:r w:rsidR="009065EF" w:rsidRPr="007C23F7">
          <w:rPr>
            <w:rStyle w:val="Hyperlink"/>
            <w:rFonts w:cs="Times New Roman"/>
            <w:szCs w:val="24"/>
          </w:rPr>
          <w:t>http://ec.europa.eu/competition/publications/cpn/2009_1_16.pdf</w:t>
        </w:r>
      </w:hyperlink>
    </w:p>
    <w:p w:rsidR="00573158" w:rsidRDefault="00573158" w:rsidP="00573158">
      <w:pPr>
        <w:pStyle w:val="wText"/>
        <w:ind w:left="360"/>
        <w:rPr>
          <w:rFonts w:cs="Times New Roman"/>
          <w:b/>
          <w:szCs w:val="24"/>
        </w:rPr>
      </w:pPr>
    </w:p>
    <w:p w:rsidR="009325E7" w:rsidRDefault="009325E7" w:rsidP="009325E7">
      <w:pPr>
        <w:pStyle w:val="wText"/>
        <w:numPr>
          <w:ilvl w:val="0"/>
          <w:numId w:val="1"/>
        </w:numPr>
        <w:rPr>
          <w:rFonts w:cs="Times New Roman"/>
          <w:b/>
          <w:szCs w:val="24"/>
        </w:rPr>
      </w:pPr>
      <w:r>
        <w:rPr>
          <w:rFonts w:cs="Times New Roman"/>
          <w:b/>
          <w:szCs w:val="24"/>
        </w:rPr>
        <w:t>Vertical (distribution) agreements</w:t>
      </w:r>
    </w:p>
    <w:p w:rsidR="009325E7" w:rsidRPr="009325E7" w:rsidRDefault="009325E7" w:rsidP="009325E7">
      <w:pPr>
        <w:pStyle w:val="wText"/>
        <w:numPr>
          <w:ilvl w:val="0"/>
          <w:numId w:val="19"/>
        </w:numPr>
        <w:rPr>
          <w:rFonts w:cs="Times New Roman"/>
          <w:szCs w:val="24"/>
        </w:rPr>
      </w:pPr>
      <w:r w:rsidRPr="009325E7">
        <w:rPr>
          <w:rFonts w:cs="Times New Roman"/>
          <w:szCs w:val="24"/>
        </w:rPr>
        <w:t xml:space="preserve">The </w:t>
      </w:r>
      <w:proofErr w:type="spellStart"/>
      <w:r w:rsidRPr="009325E7">
        <w:rPr>
          <w:rFonts w:cs="Times New Roman"/>
          <w:szCs w:val="24"/>
        </w:rPr>
        <w:t>Consten</w:t>
      </w:r>
      <w:proofErr w:type="spellEnd"/>
      <w:r w:rsidRPr="009325E7">
        <w:rPr>
          <w:rFonts w:cs="Times New Roman"/>
          <w:szCs w:val="24"/>
        </w:rPr>
        <w:t xml:space="preserve"> and </w:t>
      </w:r>
      <w:proofErr w:type="spellStart"/>
      <w:r w:rsidRPr="009325E7">
        <w:rPr>
          <w:rFonts w:cs="Times New Roman"/>
          <w:szCs w:val="24"/>
        </w:rPr>
        <w:t>Grundig</w:t>
      </w:r>
      <w:proofErr w:type="spellEnd"/>
      <w:r w:rsidRPr="009325E7">
        <w:rPr>
          <w:rFonts w:cs="Times New Roman"/>
          <w:szCs w:val="24"/>
        </w:rPr>
        <w:t xml:space="preserve"> case, IP rights </w:t>
      </w:r>
    </w:p>
    <w:p w:rsidR="009325E7" w:rsidRDefault="009325E7" w:rsidP="009325E7">
      <w:pPr>
        <w:pStyle w:val="wText"/>
        <w:numPr>
          <w:ilvl w:val="0"/>
          <w:numId w:val="19"/>
        </w:numPr>
        <w:rPr>
          <w:rFonts w:cs="Times New Roman"/>
          <w:szCs w:val="24"/>
        </w:rPr>
      </w:pPr>
      <w:r>
        <w:rPr>
          <w:rFonts w:cs="Times New Roman"/>
          <w:szCs w:val="24"/>
        </w:rPr>
        <w:t>The Block exemption regulation</w:t>
      </w:r>
    </w:p>
    <w:p w:rsidR="009325E7" w:rsidRPr="009325E7" w:rsidRDefault="009325E7" w:rsidP="009325E7">
      <w:pPr>
        <w:pStyle w:val="wText"/>
        <w:numPr>
          <w:ilvl w:val="0"/>
          <w:numId w:val="19"/>
        </w:numPr>
        <w:rPr>
          <w:rFonts w:cs="Times New Roman"/>
          <w:szCs w:val="24"/>
        </w:rPr>
      </w:pPr>
      <w:r>
        <w:rPr>
          <w:rFonts w:cs="Times New Roman"/>
          <w:szCs w:val="24"/>
        </w:rPr>
        <w:t>RPM, resale restrictions and non-compete</w:t>
      </w:r>
    </w:p>
    <w:p w:rsidR="00CB52B2" w:rsidRPr="00CB52B2" w:rsidRDefault="00CB52B2" w:rsidP="00573158">
      <w:pPr>
        <w:pStyle w:val="wText"/>
        <w:ind w:left="360"/>
        <w:rPr>
          <w:rFonts w:cs="Times New Roman"/>
          <w:i/>
          <w:szCs w:val="24"/>
        </w:rPr>
      </w:pPr>
      <w:r w:rsidRPr="00CB52B2">
        <w:rPr>
          <w:rFonts w:cs="Times New Roman"/>
          <w:i/>
          <w:szCs w:val="24"/>
        </w:rPr>
        <w:t>Suggested readings:</w:t>
      </w:r>
    </w:p>
    <w:p w:rsidR="00573158" w:rsidRPr="00CB52B2" w:rsidRDefault="000364C8" w:rsidP="00573158">
      <w:pPr>
        <w:pStyle w:val="wText"/>
        <w:ind w:left="360"/>
        <w:rPr>
          <w:rFonts w:cs="Times New Roman"/>
          <w:szCs w:val="24"/>
        </w:rPr>
      </w:pPr>
      <w:hyperlink r:id="rId13" w:history="1">
        <w:r w:rsidR="00CB52B2" w:rsidRPr="00CB52B2">
          <w:rPr>
            <w:rStyle w:val="Hyperlink"/>
            <w:rFonts w:cs="Times New Roman"/>
            <w:szCs w:val="24"/>
          </w:rPr>
          <w:t>http://eur-lex.europa.eu/LexUriServ/LexUriServ.do?uri=OJ:C:2010:130:0001:0046:EN:PDF</w:t>
        </w:r>
      </w:hyperlink>
    </w:p>
    <w:p w:rsidR="00CB52B2" w:rsidRDefault="00CB52B2" w:rsidP="00573158">
      <w:pPr>
        <w:pStyle w:val="wText"/>
        <w:ind w:left="360"/>
        <w:rPr>
          <w:rFonts w:cs="Times New Roman"/>
          <w:b/>
          <w:szCs w:val="24"/>
        </w:rPr>
      </w:pPr>
    </w:p>
    <w:p w:rsidR="008A37DD" w:rsidRPr="00AE3B54" w:rsidRDefault="00BE1B8D" w:rsidP="009325E7">
      <w:pPr>
        <w:pStyle w:val="wText"/>
        <w:numPr>
          <w:ilvl w:val="0"/>
          <w:numId w:val="1"/>
        </w:numPr>
        <w:rPr>
          <w:rFonts w:cs="Times New Roman"/>
          <w:b/>
          <w:szCs w:val="24"/>
        </w:rPr>
      </w:pPr>
      <w:r>
        <w:rPr>
          <w:rFonts w:cs="Times New Roman"/>
          <w:b/>
          <w:szCs w:val="24"/>
        </w:rPr>
        <w:t>Public</w:t>
      </w:r>
      <w:r w:rsidR="008A37DD" w:rsidRPr="00AE3B54">
        <w:rPr>
          <w:rFonts w:cs="Times New Roman"/>
          <w:b/>
          <w:szCs w:val="24"/>
        </w:rPr>
        <w:t xml:space="preserve"> enforcement of cartel rules: investigatory tools, due process, human rights and sanctions</w:t>
      </w:r>
    </w:p>
    <w:p w:rsidR="008A37DD" w:rsidRDefault="008A37DD" w:rsidP="008A37DD">
      <w:pPr>
        <w:pStyle w:val="wText"/>
        <w:numPr>
          <w:ilvl w:val="0"/>
          <w:numId w:val="11"/>
        </w:numPr>
        <w:rPr>
          <w:rFonts w:cs="Times New Roman"/>
          <w:szCs w:val="24"/>
        </w:rPr>
      </w:pPr>
      <w:r>
        <w:rPr>
          <w:rFonts w:cs="Times New Roman"/>
          <w:szCs w:val="24"/>
        </w:rPr>
        <w:t>The legal consequences of illegal cartel activity at EU and national levels</w:t>
      </w:r>
    </w:p>
    <w:p w:rsidR="008A37DD" w:rsidRDefault="008A37DD" w:rsidP="008A37DD">
      <w:pPr>
        <w:pStyle w:val="wText"/>
        <w:numPr>
          <w:ilvl w:val="0"/>
          <w:numId w:val="11"/>
        </w:numPr>
        <w:rPr>
          <w:rFonts w:cs="Times New Roman"/>
          <w:szCs w:val="24"/>
        </w:rPr>
      </w:pPr>
      <w:r>
        <w:rPr>
          <w:rFonts w:cs="Times New Roman"/>
          <w:szCs w:val="24"/>
        </w:rPr>
        <w:t>The fining policy of the EU Commission</w:t>
      </w:r>
    </w:p>
    <w:p w:rsidR="008A37DD" w:rsidRDefault="008A37DD" w:rsidP="008A37DD">
      <w:pPr>
        <w:pStyle w:val="wText"/>
        <w:numPr>
          <w:ilvl w:val="0"/>
          <w:numId w:val="11"/>
        </w:numPr>
        <w:rPr>
          <w:rFonts w:cs="Times New Roman"/>
          <w:szCs w:val="24"/>
        </w:rPr>
      </w:pPr>
      <w:r>
        <w:rPr>
          <w:rFonts w:cs="Times New Roman"/>
          <w:szCs w:val="24"/>
        </w:rPr>
        <w:t>Balancing investigatory powers and rights of undertakings</w:t>
      </w:r>
    </w:p>
    <w:p w:rsidR="008A37DD" w:rsidRDefault="008A37DD" w:rsidP="008A37DD">
      <w:pPr>
        <w:pStyle w:val="wText"/>
        <w:numPr>
          <w:ilvl w:val="0"/>
          <w:numId w:val="11"/>
        </w:numPr>
        <w:rPr>
          <w:rFonts w:cs="Times New Roman"/>
          <w:szCs w:val="24"/>
        </w:rPr>
      </w:pPr>
      <w:r>
        <w:rPr>
          <w:rFonts w:cs="Times New Roman"/>
          <w:szCs w:val="24"/>
        </w:rPr>
        <w:t>The relevance of the European Court of Human Rights jurisprudence</w:t>
      </w:r>
    </w:p>
    <w:p w:rsidR="00BE1B8D" w:rsidRDefault="007E33FE" w:rsidP="009325E7">
      <w:pPr>
        <w:pStyle w:val="wText"/>
        <w:ind w:left="720"/>
        <w:rPr>
          <w:rFonts w:cs="Times New Roman"/>
          <w:szCs w:val="24"/>
        </w:rPr>
      </w:pPr>
      <w:r w:rsidRPr="007E33FE">
        <w:rPr>
          <w:rFonts w:cs="Times New Roman"/>
          <w:i/>
          <w:szCs w:val="24"/>
        </w:rPr>
        <w:t>Suggested reading</w:t>
      </w:r>
      <w:r>
        <w:rPr>
          <w:rFonts w:cs="Times New Roman"/>
          <w:szCs w:val="24"/>
        </w:rPr>
        <w:t xml:space="preserve">: </w:t>
      </w:r>
    </w:p>
    <w:p w:rsidR="007E33FE" w:rsidRDefault="004242B5" w:rsidP="009325E7">
      <w:pPr>
        <w:pStyle w:val="wText"/>
        <w:ind w:left="720"/>
        <w:rPr>
          <w:rFonts w:cs="Times New Roman"/>
          <w:szCs w:val="24"/>
        </w:rPr>
      </w:pPr>
      <w:hyperlink r:id="rId14" w:history="1">
        <w:r w:rsidRPr="00BE1EC7">
          <w:rPr>
            <w:rStyle w:val="Hyperlink"/>
            <w:rFonts w:cs="Times New Roman"/>
            <w:szCs w:val="24"/>
          </w:rPr>
          <w:t>http://papers.ssrn.com/sol3/papers.cfm?abstract_id=1759209</w:t>
        </w:r>
      </w:hyperlink>
    </w:p>
    <w:p w:rsidR="004242B5" w:rsidRPr="004242B5" w:rsidRDefault="004242B5" w:rsidP="009325E7">
      <w:pPr>
        <w:pStyle w:val="wText"/>
        <w:ind w:left="720"/>
        <w:rPr>
          <w:rFonts w:cs="Times New Roman"/>
          <w:szCs w:val="24"/>
          <w:lang w:val="de-DE"/>
        </w:rPr>
      </w:pPr>
      <w:r w:rsidRPr="004242B5">
        <w:rPr>
          <w:rFonts w:cs="Times New Roman"/>
          <w:szCs w:val="24"/>
          <w:lang w:val="de-DE"/>
        </w:rPr>
        <w:t xml:space="preserve">pp1-15: </w:t>
      </w:r>
      <w:hyperlink r:id="rId15" w:history="1">
        <w:r w:rsidRPr="004242B5">
          <w:rPr>
            <w:rStyle w:val="Hyperlink"/>
            <w:rFonts w:cs="Times New Roman"/>
            <w:szCs w:val="24"/>
            <w:lang w:val="de-DE"/>
          </w:rPr>
          <w:t>http://papers.ssrn.com/sol3/papers.cfm?abstract_id=1937582</w:t>
        </w:r>
      </w:hyperlink>
    </w:p>
    <w:p w:rsidR="004242B5" w:rsidRPr="004242B5" w:rsidRDefault="004242B5" w:rsidP="009325E7">
      <w:pPr>
        <w:pStyle w:val="wText"/>
        <w:ind w:left="720"/>
        <w:rPr>
          <w:rFonts w:cs="Times New Roman"/>
          <w:szCs w:val="24"/>
          <w:lang w:val="de-DE"/>
        </w:rPr>
      </w:pPr>
    </w:p>
    <w:p w:rsidR="008A37DD" w:rsidRDefault="008A37DD" w:rsidP="009325E7">
      <w:pPr>
        <w:pStyle w:val="wText"/>
        <w:numPr>
          <w:ilvl w:val="0"/>
          <w:numId w:val="1"/>
        </w:numPr>
        <w:rPr>
          <w:rFonts w:cs="Times New Roman"/>
          <w:b/>
          <w:szCs w:val="24"/>
        </w:rPr>
      </w:pPr>
      <w:r w:rsidRPr="00BE1B8D">
        <w:rPr>
          <w:rFonts w:cs="Times New Roman"/>
          <w:b/>
          <w:szCs w:val="24"/>
        </w:rPr>
        <w:t xml:space="preserve">The role of private enforcement in Europe </w:t>
      </w:r>
    </w:p>
    <w:p w:rsidR="00BE1B8D" w:rsidRPr="00BE1B8D" w:rsidRDefault="00BE1B8D" w:rsidP="00BE1B8D">
      <w:pPr>
        <w:pStyle w:val="wText"/>
        <w:numPr>
          <w:ilvl w:val="0"/>
          <w:numId w:val="17"/>
        </w:numPr>
        <w:rPr>
          <w:rFonts w:cs="Times New Roman"/>
          <w:szCs w:val="24"/>
          <w:lang w:val="fr-FR"/>
        </w:rPr>
      </w:pPr>
      <w:r w:rsidRPr="00BE1B8D">
        <w:rPr>
          <w:rFonts w:cs="Times New Roman"/>
          <w:szCs w:val="24"/>
          <w:lang w:val="fr-FR"/>
        </w:rPr>
        <w:t xml:space="preserve">EU Courts cases (Courage, </w:t>
      </w:r>
      <w:proofErr w:type="spellStart"/>
      <w:r w:rsidRPr="00BE1B8D">
        <w:rPr>
          <w:rFonts w:cs="Times New Roman"/>
          <w:szCs w:val="24"/>
          <w:lang w:val="fr-FR"/>
        </w:rPr>
        <w:t>Manfredi</w:t>
      </w:r>
      <w:proofErr w:type="spellEnd"/>
      <w:r w:rsidRPr="00BE1B8D">
        <w:rPr>
          <w:rFonts w:cs="Times New Roman"/>
          <w:szCs w:val="24"/>
          <w:lang w:val="fr-FR"/>
        </w:rPr>
        <w:t>)</w:t>
      </w:r>
    </w:p>
    <w:p w:rsidR="00BE1B8D" w:rsidRDefault="00BE1B8D" w:rsidP="00BE1B8D">
      <w:pPr>
        <w:pStyle w:val="wText"/>
        <w:numPr>
          <w:ilvl w:val="0"/>
          <w:numId w:val="17"/>
        </w:numPr>
        <w:rPr>
          <w:rFonts w:cs="Times New Roman"/>
          <w:szCs w:val="24"/>
        </w:rPr>
      </w:pPr>
      <w:r w:rsidRPr="00BE1B8D">
        <w:rPr>
          <w:rFonts w:cs="Times New Roman"/>
          <w:szCs w:val="24"/>
        </w:rPr>
        <w:t>The</w:t>
      </w:r>
      <w:r>
        <w:rPr>
          <w:rFonts w:cs="Times New Roman"/>
          <w:szCs w:val="24"/>
        </w:rPr>
        <w:t xml:space="preserve"> Directive promoting private damage actions</w:t>
      </w:r>
    </w:p>
    <w:p w:rsidR="00BE1B8D" w:rsidRPr="00BE1B8D" w:rsidRDefault="00BE1B8D" w:rsidP="00BE1B8D">
      <w:pPr>
        <w:pStyle w:val="wText"/>
        <w:numPr>
          <w:ilvl w:val="0"/>
          <w:numId w:val="17"/>
        </w:numPr>
        <w:rPr>
          <w:rFonts w:cs="Times New Roman"/>
          <w:szCs w:val="24"/>
        </w:rPr>
      </w:pPr>
      <w:r>
        <w:rPr>
          <w:rFonts w:cs="Times New Roman"/>
          <w:szCs w:val="24"/>
        </w:rPr>
        <w:t>The class action option</w:t>
      </w:r>
    </w:p>
    <w:p w:rsidR="009325E7" w:rsidRPr="004242B5" w:rsidRDefault="004242B5" w:rsidP="00BE1B8D">
      <w:pPr>
        <w:pStyle w:val="wText"/>
        <w:rPr>
          <w:rFonts w:cs="Times New Roman"/>
          <w:i/>
          <w:szCs w:val="24"/>
        </w:rPr>
      </w:pPr>
      <w:r w:rsidRPr="004242B5">
        <w:rPr>
          <w:rFonts w:cs="Times New Roman"/>
          <w:i/>
          <w:szCs w:val="24"/>
        </w:rPr>
        <w:t>Suggested readings:</w:t>
      </w:r>
    </w:p>
    <w:p w:rsidR="004242B5" w:rsidRPr="004242B5" w:rsidRDefault="004242B5" w:rsidP="00BE1B8D">
      <w:pPr>
        <w:pStyle w:val="wText"/>
        <w:rPr>
          <w:rFonts w:cs="Times New Roman"/>
          <w:szCs w:val="24"/>
        </w:rPr>
      </w:pPr>
      <w:hyperlink r:id="rId16" w:history="1">
        <w:r w:rsidRPr="004242B5">
          <w:rPr>
            <w:rStyle w:val="Hyperlink"/>
            <w:rFonts w:cs="Times New Roman"/>
            <w:szCs w:val="24"/>
          </w:rPr>
          <w:t>http://ec.europa.eu/competition/antitrust/actionsdamages/documents.html</w:t>
        </w:r>
      </w:hyperlink>
    </w:p>
    <w:p w:rsidR="004242B5" w:rsidRDefault="004242B5" w:rsidP="00BE1B8D">
      <w:pPr>
        <w:pStyle w:val="wText"/>
        <w:rPr>
          <w:rFonts w:cs="Times New Roman"/>
          <w:b/>
          <w:szCs w:val="24"/>
        </w:rPr>
      </w:pPr>
    </w:p>
    <w:p w:rsidR="00BE1B8D" w:rsidRPr="00665883" w:rsidRDefault="00BE1B8D" w:rsidP="009325E7">
      <w:pPr>
        <w:pStyle w:val="wText"/>
        <w:numPr>
          <w:ilvl w:val="0"/>
          <w:numId w:val="1"/>
        </w:numPr>
        <w:rPr>
          <w:rFonts w:cs="Times New Roman"/>
          <w:b/>
          <w:szCs w:val="24"/>
        </w:rPr>
      </w:pPr>
      <w:r w:rsidRPr="00665883">
        <w:rPr>
          <w:rFonts w:cs="Times New Roman"/>
          <w:b/>
          <w:szCs w:val="24"/>
        </w:rPr>
        <w:t>Are monopolies bad?</w:t>
      </w:r>
    </w:p>
    <w:p w:rsidR="00BE1B8D" w:rsidRDefault="00BE1B8D" w:rsidP="00BE1B8D">
      <w:pPr>
        <w:pStyle w:val="wText"/>
        <w:numPr>
          <w:ilvl w:val="0"/>
          <w:numId w:val="13"/>
        </w:numPr>
        <w:rPr>
          <w:rFonts w:cs="Times New Roman"/>
          <w:szCs w:val="24"/>
        </w:rPr>
      </w:pPr>
      <w:r>
        <w:rPr>
          <w:rFonts w:cs="Times New Roman"/>
          <w:szCs w:val="24"/>
        </w:rPr>
        <w:t>The existence vs. the abuse of dominant market position</w:t>
      </w:r>
    </w:p>
    <w:p w:rsidR="00BE1B8D" w:rsidRDefault="00BE1B8D" w:rsidP="00BE1B8D">
      <w:pPr>
        <w:pStyle w:val="wText"/>
        <w:numPr>
          <w:ilvl w:val="0"/>
          <w:numId w:val="13"/>
        </w:numPr>
        <w:rPr>
          <w:rFonts w:cs="Times New Roman"/>
          <w:szCs w:val="24"/>
        </w:rPr>
      </w:pPr>
      <w:r>
        <w:rPr>
          <w:rFonts w:cs="Times New Roman"/>
          <w:szCs w:val="24"/>
        </w:rPr>
        <w:t>The definition of the relevant market, market power</w:t>
      </w:r>
    </w:p>
    <w:p w:rsidR="009325E7" w:rsidRDefault="009325E7" w:rsidP="00BE1B8D">
      <w:pPr>
        <w:pStyle w:val="wText"/>
        <w:numPr>
          <w:ilvl w:val="0"/>
          <w:numId w:val="13"/>
        </w:numPr>
        <w:rPr>
          <w:rFonts w:cs="Times New Roman"/>
          <w:szCs w:val="24"/>
        </w:rPr>
      </w:pPr>
      <w:r>
        <w:rPr>
          <w:rFonts w:cs="Times New Roman"/>
          <w:szCs w:val="24"/>
        </w:rPr>
        <w:t>Competition on the merits vs. abuse</w:t>
      </w:r>
    </w:p>
    <w:p w:rsidR="009325E7" w:rsidRDefault="009325E7" w:rsidP="00BE1B8D">
      <w:pPr>
        <w:pStyle w:val="wText"/>
        <w:numPr>
          <w:ilvl w:val="0"/>
          <w:numId w:val="13"/>
        </w:numPr>
        <w:rPr>
          <w:rFonts w:cs="Times New Roman"/>
          <w:szCs w:val="24"/>
        </w:rPr>
      </w:pPr>
      <w:r>
        <w:rPr>
          <w:rFonts w:cs="Times New Roman"/>
          <w:szCs w:val="24"/>
        </w:rPr>
        <w:t>Typical forms of abuses</w:t>
      </w:r>
    </w:p>
    <w:p w:rsidR="00BE1B8D" w:rsidRDefault="00BE1B8D" w:rsidP="00BE1B8D">
      <w:pPr>
        <w:pStyle w:val="wText"/>
        <w:numPr>
          <w:ilvl w:val="0"/>
          <w:numId w:val="13"/>
        </w:numPr>
        <w:rPr>
          <w:rFonts w:cs="Times New Roman"/>
          <w:szCs w:val="24"/>
        </w:rPr>
      </w:pPr>
      <w:r>
        <w:rPr>
          <w:rFonts w:cs="Times New Roman"/>
          <w:szCs w:val="24"/>
        </w:rPr>
        <w:t>Tensions between EU and U.S. policies</w:t>
      </w:r>
    </w:p>
    <w:p w:rsidR="009325E7" w:rsidRDefault="009325E7" w:rsidP="00BE1B8D">
      <w:pPr>
        <w:pStyle w:val="wText"/>
        <w:rPr>
          <w:i/>
        </w:rPr>
      </w:pPr>
      <w:r w:rsidRPr="00665883">
        <w:rPr>
          <w:i/>
        </w:rPr>
        <w:t>Suggested readings:</w:t>
      </w:r>
    </w:p>
    <w:p w:rsidR="009325E7" w:rsidRPr="009325E7" w:rsidRDefault="000364C8" w:rsidP="00BE1B8D">
      <w:pPr>
        <w:pStyle w:val="wText"/>
        <w:rPr>
          <w:rFonts w:cs="Times New Roman"/>
          <w:szCs w:val="24"/>
        </w:rPr>
      </w:pPr>
      <w:hyperlink r:id="rId17" w:history="1">
        <w:r w:rsidR="009325E7" w:rsidRPr="009325E7">
          <w:rPr>
            <w:rStyle w:val="Hyperlink"/>
            <w:rFonts w:cs="Times New Roman"/>
            <w:szCs w:val="24"/>
          </w:rPr>
          <w:t>http://ec.europa.eu/competition/publications/cpn/2009_1_5.pdf</w:t>
        </w:r>
      </w:hyperlink>
    </w:p>
    <w:p w:rsidR="009065EF" w:rsidRDefault="000364C8" w:rsidP="009065EF">
      <w:pPr>
        <w:pStyle w:val="wText"/>
      </w:pPr>
      <w:hyperlink r:id="rId18" w:history="1">
        <w:r w:rsidR="009065EF" w:rsidRPr="001F2326">
          <w:rPr>
            <w:rStyle w:val="Hyperlink"/>
          </w:rPr>
          <w:t>http://ec.europa.eu/competition/publications/cpn/2009_3_5.pdf</w:t>
        </w:r>
      </w:hyperlink>
    </w:p>
    <w:p w:rsidR="00573158" w:rsidRDefault="00573158" w:rsidP="00573158">
      <w:pPr>
        <w:pStyle w:val="wText"/>
        <w:rPr>
          <w:rFonts w:cs="Times New Roman"/>
          <w:szCs w:val="24"/>
        </w:rPr>
      </w:pPr>
      <w:r>
        <w:rPr>
          <w:rFonts w:cs="Times New Roman"/>
          <w:szCs w:val="24"/>
        </w:rPr>
        <w:t xml:space="preserve">Interchange fees: </w:t>
      </w:r>
      <w:hyperlink r:id="rId19" w:history="1">
        <w:r w:rsidRPr="007C23F7">
          <w:rPr>
            <w:rStyle w:val="Hyperlink"/>
            <w:rFonts w:cs="Times New Roman"/>
            <w:szCs w:val="24"/>
          </w:rPr>
          <w:t>http://europa.eu/rapid/press-release_SPEECH-13-660_en.htm</w:t>
        </w:r>
      </w:hyperlink>
    </w:p>
    <w:p w:rsidR="009325E7" w:rsidRDefault="009325E7" w:rsidP="00BE1B8D">
      <w:pPr>
        <w:pStyle w:val="wText"/>
        <w:rPr>
          <w:rFonts w:cs="Times New Roman"/>
          <w:b/>
          <w:szCs w:val="24"/>
        </w:rPr>
      </w:pPr>
    </w:p>
    <w:p w:rsidR="00BE1B8D" w:rsidRPr="00BE1B8D" w:rsidRDefault="00BE1B8D" w:rsidP="009325E7">
      <w:pPr>
        <w:pStyle w:val="wText"/>
        <w:numPr>
          <w:ilvl w:val="0"/>
          <w:numId w:val="1"/>
        </w:numPr>
        <w:rPr>
          <w:rFonts w:cs="Times New Roman"/>
          <w:b/>
          <w:szCs w:val="24"/>
        </w:rPr>
      </w:pPr>
      <w:r w:rsidRPr="00BE1B8D">
        <w:rPr>
          <w:rFonts w:cs="Times New Roman"/>
          <w:b/>
          <w:szCs w:val="24"/>
        </w:rPr>
        <w:t>State created monopolies</w:t>
      </w:r>
    </w:p>
    <w:p w:rsidR="00BE1B8D" w:rsidRDefault="00BE1B8D" w:rsidP="00BE1B8D">
      <w:pPr>
        <w:pStyle w:val="wText"/>
        <w:numPr>
          <w:ilvl w:val="0"/>
          <w:numId w:val="13"/>
        </w:numPr>
        <w:rPr>
          <w:rFonts w:cs="Times New Roman"/>
          <w:szCs w:val="24"/>
        </w:rPr>
      </w:pPr>
      <w:r>
        <w:rPr>
          <w:rFonts w:cs="Times New Roman"/>
          <w:szCs w:val="24"/>
        </w:rPr>
        <w:t>Articles 37 and 106</w:t>
      </w:r>
    </w:p>
    <w:p w:rsidR="00BE1B8D" w:rsidRPr="00665883" w:rsidRDefault="00BE1B8D" w:rsidP="00BE1B8D">
      <w:pPr>
        <w:pStyle w:val="wText"/>
        <w:numPr>
          <w:ilvl w:val="0"/>
          <w:numId w:val="13"/>
        </w:numPr>
        <w:rPr>
          <w:rFonts w:cs="Times New Roman"/>
          <w:szCs w:val="24"/>
        </w:rPr>
      </w:pPr>
      <w:r>
        <w:rPr>
          <w:rFonts w:cs="Times New Roman"/>
          <w:szCs w:val="24"/>
        </w:rPr>
        <w:t>The public service exception</w:t>
      </w:r>
    </w:p>
    <w:p w:rsidR="00BE1B8D" w:rsidRPr="00665883" w:rsidRDefault="00BE1B8D" w:rsidP="00BE1B8D">
      <w:pPr>
        <w:pStyle w:val="wText"/>
        <w:rPr>
          <w:i/>
        </w:rPr>
      </w:pPr>
      <w:r w:rsidRPr="00665883">
        <w:rPr>
          <w:i/>
        </w:rPr>
        <w:t>Suggested readings:</w:t>
      </w:r>
    </w:p>
    <w:p w:rsidR="00BE1B8D" w:rsidRDefault="00BE1B8D" w:rsidP="00BE1B8D">
      <w:pPr>
        <w:pStyle w:val="wText"/>
      </w:pPr>
      <w:r>
        <w:t>C-553/12 P Commission v DEI (Greek lignite case) and the Advocate General’s opinion of December 2013</w:t>
      </w:r>
    </w:p>
    <w:p w:rsidR="009065EF" w:rsidRDefault="009065EF" w:rsidP="00BE1B8D">
      <w:pPr>
        <w:pStyle w:val="wText"/>
      </w:pPr>
    </w:p>
    <w:p w:rsidR="008A37DD" w:rsidRPr="00573158" w:rsidRDefault="00573158" w:rsidP="008A37DD">
      <w:pPr>
        <w:pStyle w:val="wText"/>
        <w:rPr>
          <w:b/>
        </w:rPr>
      </w:pPr>
      <w:r w:rsidRPr="00573158">
        <w:rPr>
          <w:b/>
        </w:rPr>
        <w:t xml:space="preserve">9-10. </w:t>
      </w:r>
      <w:proofErr w:type="gramStart"/>
      <w:r w:rsidRPr="00573158">
        <w:rPr>
          <w:b/>
        </w:rPr>
        <w:t>The</w:t>
      </w:r>
      <w:proofErr w:type="gramEnd"/>
      <w:r w:rsidRPr="00573158">
        <w:rPr>
          <w:b/>
        </w:rPr>
        <w:t xml:space="preserve"> control of concentrations</w:t>
      </w:r>
    </w:p>
    <w:p w:rsidR="00573158" w:rsidRDefault="00573158" w:rsidP="00573158">
      <w:pPr>
        <w:pStyle w:val="wText"/>
        <w:numPr>
          <w:ilvl w:val="0"/>
          <w:numId w:val="20"/>
        </w:numPr>
        <w:rPr>
          <w:rFonts w:cs="Times New Roman"/>
          <w:szCs w:val="24"/>
        </w:rPr>
      </w:pPr>
      <w:r w:rsidRPr="00573158">
        <w:rPr>
          <w:rFonts w:cs="Times New Roman"/>
          <w:szCs w:val="24"/>
        </w:rPr>
        <w:lastRenderedPageBreak/>
        <w:t>Mergers &amp; acquisitions</w:t>
      </w:r>
    </w:p>
    <w:p w:rsidR="00573158" w:rsidRDefault="00573158" w:rsidP="00573158">
      <w:pPr>
        <w:pStyle w:val="wText"/>
        <w:numPr>
          <w:ilvl w:val="0"/>
          <w:numId w:val="20"/>
        </w:numPr>
        <w:rPr>
          <w:rFonts w:cs="Times New Roman"/>
          <w:szCs w:val="24"/>
        </w:rPr>
      </w:pPr>
      <w:r>
        <w:rPr>
          <w:rFonts w:cs="Times New Roman"/>
          <w:szCs w:val="24"/>
        </w:rPr>
        <w:t>EU dimension, the notification and authorization process</w:t>
      </w:r>
    </w:p>
    <w:p w:rsidR="00573158" w:rsidRDefault="00573158" w:rsidP="00573158">
      <w:pPr>
        <w:pStyle w:val="wText"/>
        <w:numPr>
          <w:ilvl w:val="0"/>
          <w:numId w:val="20"/>
        </w:numPr>
        <w:rPr>
          <w:rFonts w:cs="Times New Roman"/>
          <w:szCs w:val="24"/>
        </w:rPr>
      </w:pPr>
      <w:r>
        <w:rPr>
          <w:rFonts w:cs="Times New Roman"/>
          <w:szCs w:val="24"/>
        </w:rPr>
        <w:t>Harmful effects of concentrations, the SIEC test</w:t>
      </w:r>
    </w:p>
    <w:p w:rsidR="00573158" w:rsidRPr="00573158" w:rsidRDefault="00573158" w:rsidP="00573158">
      <w:pPr>
        <w:pStyle w:val="wText"/>
        <w:numPr>
          <w:ilvl w:val="0"/>
          <w:numId w:val="20"/>
        </w:numPr>
        <w:rPr>
          <w:rFonts w:cs="Times New Roman"/>
          <w:szCs w:val="24"/>
        </w:rPr>
      </w:pPr>
      <w:r>
        <w:rPr>
          <w:rFonts w:cs="Times New Roman"/>
          <w:szCs w:val="24"/>
        </w:rPr>
        <w:t xml:space="preserve">Remedies </w:t>
      </w:r>
    </w:p>
    <w:p w:rsidR="00573158" w:rsidRPr="004242B5" w:rsidRDefault="004242B5" w:rsidP="004242B5">
      <w:pPr>
        <w:pStyle w:val="wText"/>
        <w:rPr>
          <w:rFonts w:cs="Times New Roman"/>
          <w:i/>
          <w:szCs w:val="24"/>
        </w:rPr>
      </w:pPr>
      <w:r w:rsidRPr="004242B5">
        <w:rPr>
          <w:rFonts w:cs="Times New Roman"/>
          <w:i/>
          <w:szCs w:val="24"/>
        </w:rPr>
        <w:t>Suggested reading:</w:t>
      </w:r>
    </w:p>
    <w:p w:rsidR="004242B5" w:rsidRPr="004242B5" w:rsidRDefault="004242B5" w:rsidP="004242B5">
      <w:pPr>
        <w:pStyle w:val="wText"/>
        <w:rPr>
          <w:rFonts w:cs="Times New Roman"/>
          <w:szCs w:val="24"/>
        </w:rPr>
      </w:pPr>
      <w:hyperlink r:id="rId20" w:history="1">
        <w:r w:rsidRPr="004242B5">
          <w:rPr>
            <w:rStyle w:val="Hyperlink"/>
            <w:rFonts w:cs="Times New Roman"/>
            <w:szCs w:val="24"/>
          </w:rPr>
          <w:t>http://eur-lex.europa.eu/LexUriServ/LexUriServ.do?uri=OJ:C:2008:095:0001:0048:EN:PDF</w:t>
        </w:r>
      </w:hyperlink>
    </w:p>
    <w:p w:rsidR="004242B5" w:rsidRDefault="004242B5" w:rsidP="008A37DD">
      <w:pPr>
        <w:pStyle w:val="wText"/>
        <w:ind w:left="720"/>
        <w:rPr>
          <w:rFonts w:cs="Times New Roman"/>
          <w:b/>
          <w:szCs w:val="24"/>
        </w:rPr>
      </w:pPr>
    </w:p>
    <w:p w:rsidR="008A37DD" w:rsidRPr="00665883" w:rsidRDefault="00573158" w:rsidP="008A37DD">
      <w:pPr>
        <w:pStyle w:val="wText"/>
        <w:ind w:firstLine="360"/>
        <w:rPr>
          <w:rFonts w:cs="Times New Roman"/>
          <w:b/>
          <w:szCs w:val="24"/>
        </w:rPr>
      </w:pPr>
      <w:r>
        <w:rPr>
          <w:rFonts w:cs="Times New Roman"/>
          <w:b/>
          <w:szCs w:val="24"/>
        </w:rPr>
        <w:t>11-</w:t>
      </w:r>
      <w:r w:rsidR="008A37DD">
        <w:rPr>
          <w:rFonts w:cs="Times New Roman"/>
          <w:b/>
          <w:szCs w:val="24"/>
        </w:rPr>
        <w:t>12</w:t>
      </w:r>
      <w:r w:rsidR="008A37DD" w:rsidRPr="00665883">
        <w:rPr>
          <w:rFonts w:cs="Times New Roman"/>
          <w:b/>
          <w:szCs w:val="24"/>
        </w:rPr>
        <w:t xml:space="preserve">. </w:t>
      </w:r>
      <w:proofErr w:type="gramStart"/>
      <w:r w:rsidR="008A37DD" w:rsidRPr="00665883">
        <w:rPr>
          <w:rFonts w:cs="Times New Roman"/>
          <w:b/>
          <w:szCs w:val="24"/>
        </w:rPr>
        <w:t>The</w:t>
      </w:r>
      <w:proofErr w:type="gramEnd"/>
      <w:r w:rsidR="008A37DD" w:rsidRPr="00665883">
        <w:rPr>
          <w:rFonts w:cs="Times New Roman"/>
          <w:b/>
          <w:szCs w:val="24"/>
        </w:rPr>
        <w:t xml:space="preserve"> control of state aid</w:t>
      </w:r>
    </w:p>
    <w:p w:rsidR="008A37DD" w:rsidRDefault="008A37DD" w:rsidP="008A37DD">
      <w:pPr>
        <w:pStyle w:val="wText"/>
        <w:numPr>
          <w:ilvl w:val="0"/>
          <w:numId w:val="6"/>
        </w:numPr>
        <w:rPr>
          <w:rFonts w:cs="Times New Roman"/>
          <w:szCs w:val="24"/>
        </w:rPr>
      </w:pPr>
      <w:r>
        <w:rPr>
          <w:rFonts w:cs="Times New Roman"/>
          <w:szCs w:val="24"/>
        </w:rPr>
        <w:t>Unique EU rules to protect the integration</w:t>
      </w:r>
    </w:p>
    <w:p w:rsidR="008A37DD" w:rsidRDefault="008A37DD" w:rsidP="008A37DD">
      <w:pPr>
        <w:pStyle w:val="wText"/>
        <w:numPr>
          <w:ilvl w:val="0"/>
          <w:numId w:val="6"/>
        </w:numPr>
        <w:rPr>
          <w:rFonts w:cs="Times New Roman"/>
          <w:szCs w:val="24"/>
        </w:rPr>
      </w:pPr>
      <w:r>
        <w:rPr>
          <w:rFonts w:cs="Times New Roman"/>
          <w:szCs w:val="24"/>
        </w:rPr>
        <w:t>The definition of incompatible state aid</w:t>
      </w:r>
    </w:p>
    <w:p w:rsidR="008A37DD" w:rsidRDefault="008A37DD" w:rsidP="008A37DD">
      <w:pPr>
        <w:pStyle w:val="wText"/>
        <w:numPr>
          <w:ilvl w:val="0"/>
          <w:numId w:val="6"/>
        </w:numPr>
        <w:rPr>
          <w:rFonts w:cs="Times New Roman"/>
          <w:szCs w:val="24"/>
        </w:rPr>
      </w:pPr>
      <w:r>
        <w:rPr>
          <w:rFonts w:cs="Times New Roman"/>
          <w:szCs w:val="24"/>
        </w:rPr>
        <w:t>Options for Member States to get state aid approved by the Commission</w:t>
      </w:r>
    </w:p>
    <w:p w:rsidR="008A37DD" w:rsidRDefault="007D7803" w:rsidP="008A37DD">
      <w:pPr>
        <w:pStyle w:val="wText"/>
        <w:numPr>
          <w:ilvl w:val="0"/>
          <w:numId w:val="6"/>
        </w:numPr>
        <w:rPr>
          <w:rFonts w:cs="Times New Roman"/>
          <w:szCs w:val="24"/>
        </w:rPr>
      </w:pPr>
      <w:r>
        <w:rPr>
          <w:rFonts w:cs="Times New Roman"/>
          <w:szCs w:val="24"/>
        </w:rPr>
        <w:t>The MALÉV case</w:t>
      </w:r>
    </w:p>
    <w:p w:rsidR="00573158" w:rsidRDefault="00573158" w:rsidP="008A37DD">
      <w:pPr>
        <w:pStyle w:val="wText"/>
        <w:numPr>
          <w:ilvl w:val="0"/>
          <w:numId w:val="6"/>
        </w:numPr>
        <w:rPr>
          <w:rFonts w:cs="Times New Roman"/>
          <w:szCs w:val="24"/>
        </w:rPr>
      </w:pPr>
      <w:r>
        <w:rPr>
          <w:rFonts w:cs="Times New Roman"/>
          <w:szCs w:val="24"/>
        </w:rPr>
        <w:t>Managing the financial and economic crisis</w:t>
      </w:r>
    </w:p>
    <w:p w:rsidR="008A37DD" w:rsidRPr="005C08C7" w:rsidRDefault="008A37DD" w:rsidP="008A37DD">
      <w:pPr>
        <w:pStyle w:val="wText"/>
        <w:rPr>
          <w:rFonts w:cs="Times New Roman"/>
          <w:i/>
          <w:szCs w:val="24"/>
        </w:rPr>
      </w:pPr>
      <w:r w:rsidRPr="005C08C7">
        <w:rPr>
          <w:rFonts w:cs="Times New Roman"/>
          <w:i/>
          <w:szCs w:val="24"/>
        </w:rPr>
        <w:t>Suggested reading</w:t>
      </w:r>
    </w:p>
    <w:p w:rsidR="007D7803" w:rsidRDefault="000364C8" w:rsidP="008A37DD">
      <w:pPr>
        <w:pStyle w:val="wText"/>
      </w:pPr>
      <w:hyperlink r:id="rId21" w:history="1">
        <w:r w:rsidR="007D7803" w:rsidRPr="001F2326">
          <w:rPr>
            <w:rStyle w:val="Hyperlink"/>
          </w:rPr>
          <w:t>https://www.gov.uk/government/uploads/system/uploads/attachment_data/file/443686/BIS-15-417-state-aid-the-basics-guide.pdf</w:t>
        </w:r>
      </w:hyperlink>
    </w:p>
    <w:p w:rsidR="008A37DD" w:rsidRDefault="007D7803" w:rsidP="008A37DD">
      <w:pPr>
        <w:pStyle w:val="wText"/>
        <w:rPr>
          <w:rStyle w:val="Hyperlink"/>
          <w:rFonts w:cs="Times New Roman"/>
          <w:szCs w:val="24"/>
        </w:rPr>
      </w:pPr>
      <w:r>
        <w:t xml:space="preserve">SGEI and state aid: </w:t>
      </w:r>
      <w:hyperlink r:id="rId22" w:history="1">
        <w:r w:rsidR="008A37DD" w:rsidRPr="002001DD">
          <w:rPr>
            <w:rStyle w:val="Hyperlink"/>
            <w:rFonts w:cs="Times New Roman"/>
            <w:szCs w:val="24"/>
          </w:rPr>
          <w:t>http://ec.europa.eu/competition/publications/cpn/2012_1_10_en.pdf</w:t>
        </w:r>
      </w:hyperlink>
    </w:p>
    <w:p w:rsidR="008A37DD" w:rsidRDefault="008A37DD" w:rsidP="008A37DD">
      <w:pPr>
        <w:pStyle w:val="wText"/>
        <w:ind w:left="720"/>
        <w:rPr>
          <w:rFonts w:cs="Times New Roman"/>
          <w:b/>
          <w:szCs w:val="24"/>
        </w:rPr>
      </w:pPr>
    </w:p>
    <w:p w:rsidR="009065EF" w:rsidRDefault="004242B5" w:rsidP="009065EF">
      <w:pPr>
        <w:pStyle w:val="wText"/>
        <w:ind w:left="360"/>
        <w:rPr>
          <w:rFonts w:cs="Times New Roman"/>
          <w:b/>
          <w:szCs w:val="24"/>
        </w:rPr>
      </w:pPr>
      <w:r>
        <w:rPr>
          <w:rFonts w:cs="Times New Roman"/>
          <w:b/>
          <w:szCs w:val="24"/>
        </w:rPr>
        <w:t>******************************</w:t>
      </w:r>
    </w:p>
    <w:p w:rsidR="00BE1B8D" w:rsidRDefault="00BE1B8D" w:rsidP="009065EF">
      <w:pPr>
        <w:pStyle w:val="wText"/>
        <w:ind w:left="360"/>
        <w:rPr>
          <w:rFonts w:cs="Times New Roman"/>
          <w:b/>
          <w:szCs w:val="24"/>
        </w:rPr>
      </w:pPr>
      <w:r>
        <w:rPr>
          <w:rFonts w:cs="Times New Roman"/>
          <w:b/>
          <w:szCs w:val="24"/>
        </w:rPr>
        <w:t>Useful websites:</w:t>
      </w:r>
    </w:p>
    <w:p w:rsidR="00573158" w:rsidRDefault="000364C8" w:rsidP="00573158">
      <w:pPr>
        <w:pStyle w:val="wText"/>
        <w:numPr>
          <w:ilvl w:val="0"/>
          <w:numId w:val="16"/>
        </w:numPr>
        <w:rPr>
          <w:rFonts w:cs="Times New Roman"/>
          <w:b/>
          <w:szCs w:val="24"/>
        </w:rPr>
      </w:pPr>
      <w:hyperlink r:id="rId23" w:history="1">
        <w:r w:rsidR="00573158" w:rsidRPr="001F2326">
          <w:rPr>
            <w:rStyle w:val="Hyperlink"/>
            <w:rFonts w:cs="Times New Roman"/>
            <w:b/>
            <w:szCs w:val="24"/>
          </w:rPr>
          <w:t>http://ec.europa.eu/competition/index_en.html</w:t>
        </w:r>
      </w:hyperlink>
    </w:p>
    <w:p w:rsidR="00573158" w:rsidRDefault="000364C8" w:rsidP="00573158">
      <w:pPr>
        <w:pStyle w:val="wText"/>
        <w:numPr>
          <w:ilvl w:val="0"/>
          <w:numId w:val="16"/>
        </w:numPr>
        <w:rPr>
          <w:rFonts w:cs="Times New Roman"/>
          <w:b/>
          <w:szCs w:val="24"/>
        </w:rPr>
      </w:pPr>
      <w:hyperlink r:id="rId24" w:history="1">
        <w:r w:rsidR="00573158" w:rsidRPr="001F2326">
          <w:rPr>
            <w:rStyle w:val="Hyperlink"/>
            <w:rFonts w:cs="Times New Roman"/>
            <w:b/>
            <w:szCs w:val="24"/>
          </w:rPr>
          <w:t>http://www.gvh.hu/en/</w:t>
        </w:r>
      </w:hyperlink>
    </w:p>
    <w:p w:rsidR="00BE1B8D" w:rsidRDefault="000364C8" w:rsidP="00BE1B8D">
      <w:pPr>
        <w:pStyle w:val="wText"/>
        <w:numPr>
          <w:ilvl w:val="0"/>
          <w:numId w:val="16"/>
        </w:numPr>
        <w:rPr>
          <w:rFonts w:cs="Times New Roman"/>
          <w:b/>
          <w:szCs w:val="24"/>
        </w:rPr>
      </w:pPr>
      <w:hyperlink r:id="rId25" w:history="1">
        <w:r w:rsidR="00BE1B8D" w:rsidRPr="001F2326">
          <w:rPr>
            <w:rStyle w:val="Hyperlink"/>
            <w:rFonts w:cs="Times New Roman"/>
            <w:b/>
            <w:szCs w:val="24"/>
          </w:rPr>
          <w:t>http://www.internationalcompetitionnetwork.org/about/steering-group/outreach/icncurriculum.aspx</w:t>
        </w:r>
      </w:hyperlink>
    </w:p>
    <w:p w:rsidR="00BE1B8D" w:rsidRDefault="000364C8" w:rsidP="00BC0C51">
      <w:pPr>
        <w:pStyle w:val="wText"/>
        <w:numPr>
          <w:ilvl w:val="0"/>
          <w:numId w:val="16"/>
        </w:numPr>
        <w:rPr>
          <w:rFonts w:cs="Times New Roman"/>
          <w:b/>
          <w:szCs w:val="24"/>
        </w:rPr>
      </w:pPr>
      <w:hyperlink r:id="rId26" w:history="1">
        <w:r w:rsidR="00BE1B8D" w:rsidRPr="001F2326">
          <w:rPr>
            <w:rStyle w:val="Hyperlink"/>
            <w:rFonts w:cs="Times New Roman"/>
            <w:b/>
            <w:szCs w:val="24"/>
          </w:rPr>
          <w:t>http://www.oecd.org/daf/competition/</w:t>
        </w:r>
      </w:hyperlink>
    </w:p>
    <w:p w:rsidR="009065EF" w:rsidRDefault="000364C8" w:rsidP="009065EF">
      <w:pPr>
        <w:pStyle w:val="wText"/>
        <w:numPr>
          <w:ilvl w:val="0"/>
          <w:numId w:val="16"/>
        </w:numPr>
        <w:rPr>
          <w:rFonts w:cs="Times New Roman"/>
          <w:b/>
          <w:szCs w:val="24"/>
        </w:rPr>
      </w:pPr>
      <w:hyperlink r:id="rId27" w:history="1">
        <w:r w:rsidR="009065EF" w:rsidRPr="001F2326">
          <w:rPr>
            <w:rStyle w:val="Hyperlink"/>
            <w:rFonts w:cs="Times New Roman"/>
            <w:b/>
            <w:szCs w:val="24"/>
          </w:rPr>
          <w:t>http://chillingcompetition.com/</w:t>
        </w:r>
      </w:hyperlink>
    </w:p>
    <w:p w:rsidR="009065EF" w:rsidRDefault="000364C8" w:rsidP="009065EF">
      <w:pPr>
        <w:pStyle w:val="wText"/>
        <w:numPr>
          <w:ilvl w:val="0"/>
          <w:numId w:val="16"/>
        </w:numPr>
        <w:rPr>
          <w:rFonts w:cs="Times New Roman"/>
          <w:b/>
          <w:szCs w:val="24"/>
        </w:rPr>
      </w:pPr>
      <w:hyperlink r:id="rId28" w:history="1">
        <w:r w:rsidR="009065EF" w:rsidRPr="001F2326">
          <w:rPr>
            <w:rStyle w:val="Hyperlink"/>
            <w:rFonts w:cs="Times New Roman"/>
            <w:b/>
            <w:szCs w:val="24"/>
          </w:rPr>
          <w:t>www.versenyjog.com</w:t>
        </w:r>
      </w:hyperlink>
    </w:p>
    <w:p w:rsidR="00B57ECD" w:rsidRDefault="00B57ECD"/>
    <w:sectPr w:rsidR="00B57ECD" w:rsidSect="006C01CE">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64C8">
      <w:r>
        <w:separator/>
      </w:r>
    </w:p>
  </w:endnote>
  <w:endnote w:type="continuationSeparator" w:id="0">
    <w:p w:rsidR="00000000" w:rsidRDefault="0003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BF" w:rsidRDefault="000364C8" w:rsidP="00422980">
    <w:pPr>
      <w:pStyle w:val="Footer"/>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Footer"/>
            <w:jc w:val="left"/>
            <w:rPr>
              <w:sz w:val="12"/>
              <w:lang w:val="en-GB"/>
            </w:rPr>
          </w:pPr>
          <w:r w:rsidRPr="00086331">
            <w:rPr>
              <w:sz w:val="12"/>
              <w:lang w:val="en-GB"/>
            </w:rPr>
            <w:t>2014.08.05. 9:07</w:t>
          </w:r>
        </w:p>
        <w:p w:rsidR="005E3EBF" w:rsidRPr="00086331" w:rsidRDefault="00CB52B2" w:rsidP="00422980">
          <w:pPr>
            <w:pStyle w:val="Footer"/>
            <w:jc w:val="left"/>
            <w:rPr>
              <w:sz w:val="12"/>
              <w:lang w:val="en-GB"/>
            </w:rPr>
          </w:pPr>
          <w:r w:rsidRPr="00086331">
            <w:rPr>
              <w:sz w:val="12"/>
              <w:lang w:val="en-GB"/>
            </w:rPr>
            <w:t>[EUlawinactionSyllabus.docx]</w:t>
          </w:r>
        </w:p>
      </w:tc>
      <w:tc>
        <w:tcPr>
          <w:tcW w:w="1000" w:type="pct"/>
          <w:shd w:val="clear" w:color="auto" w:fill="auto"/>
        </w:tcPr>
        <w:p w:rsidR="005E3EBF" w:rsidRDefault="000364C8" w:rsidP="00422980">
          <w:pPr>
            <w:pStyle w:val="WCPageNumber"/>
            <w:jc w:val="center"/>
          </w:pPr>
        </w:p>
      </w:tc>
      <w:tc>
        <w:tcPr>
          <w:tcW w:w="2000" w:type="pct"/>
          <w:shd w:val="clear" w:color="auto" w:fill="auto"/>
        </w:tcPr>
        <w:p w:rsidR="005E3EBF" w:rsidRPr="00422980" w:rsidRDefault="000364C8" w:rsidP="00422980">
          <w:pPr>
            <w:pStyle w:val="Footer"/>
            <w:jc w:val="right"/>
            <w:rPr>
              <w:lang w:val="en-GB"/>
            </w:rPr>
          </w:pPr>
        </w:p>
      </w:tc>
    </w:tr>
  </w:tbl>
  <w:p w:rsidR="005E3EBF" w:rsidRPr="00422980" w:rsidRDefault="000364C8" w:rsidP="00422980">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BF" w:rsidRDefault="000364C8" w:rsidP="00422980">
    <w:pPr>
      <w:pStyle w:val="Footer"/>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Footer"/>
            <w:jc w:val="left"/>
            <w:rPr>
              <w:sz w:val="12"/>
              <w:lang w:val="en-GB"/>
            </w:rPr>
          </w:pPr>
          <w:r w:rsidRPr="00086331">
            <w:rPr>
              <w:sz w:val="12"/>
              <w:lang w:val="en-GB"/>
            </w:rPr>
            <w:t>2014.08.05. 9:07</w:t>
          </w:r>
        </w:p>
        <w:p w:rsidR="005E3EBF" w:rsidRPr="00086331" w:rsidRDefault="00CB52B2" w:rsidP="00422980">
          <w:pPr>
            <w:pStyle w:val="Footer"/>
            <w:jc w:val="left"/>
            <w:rPr>
              <w:sz w:val="12"/>
              <w:lang w:val="en-GB"/>
            </w:rPr>
          </w:pPr>
          <w:r w:rsidRPr="00086331">
            <w:rPr>
              <w:sz w:val="12"/>
              <w:lang w:val="en-GB"/>
            </w:rPr>
            <w:t>[EUlawinactionSyllabus.docx]</w:t>
          </w:r>
        </w:p>
      </w:tc>
      <w:tc>
        <w:tcPr>
          <w:tcW w:w="1000" w:type="pct"/>
          <w:shd w:val="clear" w:color="auto" w:fill="auto"/>
        </w:tcPr>
        <w:p w:rsidR="005E3EBF" w:rsidRDefault="00CB52B2" w:rsidP="00422980">
          <w:pPr>
            <w:pStyle w:val="WCPageNumber"/>
            <w:jc w:val="center"/>
          </w:pPr>
          <w:r>
            <w:fldChar w:fldCharType="begin"/>
          </w:r>
          <w:r>
            <w:instrText xml:space="preserve"> PAGE   \* MERGEFORMAT </w:instrText>
          </w:r>
          <w:r>
            <w:fldChar w:fldCharType="separate"/>
          </w:r>
          <w:r w:rsidR="000364C8">
            <w:rPr>
              <w:noProof/>
            </w:rPr>
            <w:t>5</w:t>
          </w:r>
          <w:r>
            <w:fldChar w:fldCharType="end"/>
          </w:r>
        </w:p>
      </w:tc>
      <w:tc>
        <w:tcPr>
          <w:tcW w:w="2000" w:type="pct"/>
          <w:shd w:val="clear" w:color="auto" w:fill="auto"/>
        </w:tcPr>
        <w:p w:rsidR="005E3EBF" w:rsidRPr="00422980" w:rsidRDefault="000364C8" w:rsidP="00422980">
          <w:pPr>
            <w:pStyle w:val="Footer"/>
            <w:jc w:val="right"/>
            <w:rPr>
              <w:lang w:val="en-GB"/>
            </w:rPr>
          </w:pPr>
        </w:p>
      </w:tc>
    </w:tr>
  </w:tbl>
  <w:p w:rsidR="005E3EBF" w:rsidRPr="00422980" w:rsidRDefault="000364C8" w:rsidP="00422980">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BF" w:rsidRDefault="000364C8" w:rsidP="00422980">
    <w:pPr>
      <w:pStyle w:val="Footer"/>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Footer"/>
            <w:jc w:val="left"/>
            <w:rPr>
              <w:sz w:val="12"/>
              <w:lang w:val="en-GB"/>
            </w:rPr>
          </w:pPr>
          <w:r w:rsidRPr="00086331">
            <w:rPr>
              <w:sz w:val="12"/>
              <w:lang w:val="en-GB"/>
            </w:rPr>
            <w:t>2014.08.05. 9:07</w:t>
          </w:r>
        </w:p>
        <w:p w:rsidR="005E3EBF" w:rsidRPr="00086331" w:rsidRDefault="00CB52B2" w:rsidP="00422980">
          <w:pPr>
            <w:pStyle w:val="Footer"/>
            <w:jc w:val="left"/>
            <w:rPr>
              <w:sz w:val="12"/>
              <w:lang w:val="en-GB"/>
            </w:rPr>
          </w:pPr>
          <w:r w:rsidRPr="00086331">
            <w:rPr>
              <w:sz w:val="12"/>
              <w:lang w:val="en-GB"/>
            </w:rPr>
            <w:t>[EUlawinactionSyllabus.docx]</w:t>
          </w:r>
        </w:p>
      </w:tc>
      <w:tc>
        <w:tcPr>
          <w:tcW w:w="1000" w:type="pct"/>
          <w:shd w:val="clear" w:color="auto" w:fill="auto"/>
        </w:tcPr>
        <w:p w:rsidR="005E3EBF" w:rsidRDefault="000364C8" w:rsidP="00422980">
          <w:pPr>
            <w:pStyle w:val="WCPageNumber"/>
            <w:jc w:val="center"/>
          </w:pPr>
        </w:p>
      </w:tc>
      <w:tc>
        <w:tcPr>
          <w:tcW w:w="2000" w:type="pct"/>
          <w:shd w:val="clear" w:color="auto" w:fill="auto"/>
        </w:tcPr>
        <w:p w:rsidR="005E3EBF" w:rsidRPr="00422980" w:rsidRDefault="000364C8" w:rsidP="00422980">
          <w:pPr>
            <w:pStyle w:val="Footer"/>
            <w:jc w:val="right"/>
            <w:rPr>
              <w:lang w:val="en-GB"/>
            </w:rPr>
          </w:pPr>
        </w:p>
      </w:tc>
    </w:tr>
  </w:tbl>
  <w:p w:rsidR="005E3EBF" w:rsidRPr="00422980" w:rsidRDefault="000364C8" w:rsidP="00422980">
    <w:pPr>
      <w:pStyle w:val="Foote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64C8">
      <w:r>
        <w:separator/>
      </w:r>
    </w:p>
  </w:footnote>
  <w:footnote w:type="continuationSeparator" w:id="0">
    <w:p w:rsidR="00000000" w:rsidRDefault="0003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BF" w:rsidRDefault="00036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BF" w:rsidRDefault="00036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BF" w:rsidRDefault="00036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C59"/>
    <w:multiLevelType w:val="hybridMultilevel"/>
    <w:tmpl w:val="ABA6819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6378"/>
    <w:multiLevelType w:val="hybridMultilevel"/>
    <w:tmpl w:val="A0F43A7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83049"/>
    <w:multiLevelType w:val="hybridMultilevel"/>
    <w:tmpl w:val="29F04A88"/>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63398"/>
    <w:multiLevelType w:val="hybridMultilevel"/>
    <w:tmpl w:val="0BE0FC4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C64BC"/>
    <w:multiLevelType w:val="hybridMultilevel"/>
    <w:tmpl w:val="A75620C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97082"/>
    <w:multiLevelType w:val="hybridMultilevel"/>
    <w:tmpl w:val="D58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F3F0B"/>
    <w:multiLevelType w:val="hybridMultilevel"/>
    <w:tmpl w:val="A4F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02472"/>
    <w:multiLevelType w:val="hybridMultilevel"/>
    <w:tmpl w:val="A530A43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D098D"/>
    <w:multiLevelType w:val="hybridMultilevel"/>
    <w:tmpl w:val="46D48CCE"/>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131FA"/>
    <w:multiLevelType w:val="hybridMultilevel"/>
    <w:tmpl w:val="4CA6EEA6"/>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20952"/>
    <w:multiLevelType w:val="hybridMultilevel"/>
    <w:tmpl w:val="3FD2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23E36"/>
    <w:multiLevelType w:val="hybridMultilevel"/>
    <w:tmpl w:val="BE20716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C2044"/>
    <w:multiLevelType w:val="hybridMultilevel"/>
    <w:tmpl w:val="32241D58"/>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74E79"/>
    <w:multiLevelType w:val="hybridMultilevel"/>
    <w:tmpl w:val="73AAA480"/>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C5231"/>
    <w:multiLevelType w:val="hybridMultilevel"/>
    <w:tmpl w:val="BE3ED3F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06765"/>
    <w:multiLevelType w:val="multilevel"/>
    <w:tmpl w:val="9DE8644E"/>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5977D75"/>
    <w:multiLevelType w:val="hybridMultilevel"/>
    <w:tmpl w:val="DC2636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276EB"/>
    <w:multiLevelType w:val="multilevel"/>
    <w:tmpl w:val="F226504E"/>
    <w:lvl w:ilvl="0">
      <w:start w:val="7"/>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77140CD0"/>
    <w:multiLevelType w:val="hybridMultilevel"/>
    <w:tmpl w:val="58D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B0153"/>
    <w:multiLevelType w:val="hybridMultilevel"/>
    <w:tmpl w:val="059CAA8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8"/>
  </w:num>
  <w:num w:numId="5">
    <w:abstractNumId w:val="19"/>
  </w:num>
  <w:num w:numId="6">
    <w:abstractNumId w:val="12"/>
  </w:num>
  <w:num w:numId="7">
    <w:abstractNumId w:val="9"/>
  </w:num>
  <w:num w:numId="8">
    <w:abstractNumId w:val="4"/>
  </w:num>
  <w:num w:numId="9">
    <w:abstractNumId w:val="15"/>
  </w:num>
  <w:num w:numId="10">
    <w:abstractNumId w:val="16"/>
  </w:num>
  <w:num w:numId="11">
    <w:abstractNumId w:val="3"/>
  </w:num>
  <w:num w:numId="12">
    <w:abstractNumId w:val="17"/>
  </w:num>
  <w:num w:numId="13">
    <w:abstractNumId w:val="11"/>
  </w:num>
  <w:num w:numId="14">
    <w:abstractNumId w:val="13"/>
  </w:num>
  <w:num w:numId="15">
    <w:abstractNumId w:val="14"/>
  </w:num>
  <w:num w:numId="16">
    <w:abstractNumId w:val="2"/>
  </w:num>
  <w:num w:numId="17">
    <w:abstractNumId w:val="6"/>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DD"/>
    <w:rsid w:val="000364C8"/>
    <w:rsid w:val="004242B5"/>
    <w:rsid w:val="00573158"/>
    <w:rsid w:val="005F5098"/>
    <w:rsid w:val="007D7803"/>
    <w:rsid w:val="007E33FE"/>
    <w:rsid w:val="008A37DD"/>
    <w:rsid w:val="009065EF"/>
    <w:rsid w:val="009325E7"/>
    <w:rsid w:val="00955AD4"/>
    <w:rsid w:val="00B57ECD"/>
    <w:rsid w:val="00BC0C51"/>
    <w:rsid w:val="00BE1B8D"/>
    <w:rsid w:val="00CB52B2"/>
    <w:rsid w:val="00CF1AF8"/>
    <w:rsid w:val="00D15C80"/>
    <w:rsid w:val="00E5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8"/>
    <w:qFormat/>
    <w:rsid w:val="008A37DD"/>
    <w:pPr>
      <w:spacing w:after="0" w:line="240" w:lineRule="auto"/>
    </w:pPr>
    <w:rPr>
      <w:rFonts w:ascii="Times New Roman" w:eastAsia="MS Mincho"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ext">
    <w:name w:val="wText"/>
    <w:basedOn w:val="Normal"/>
    <w:uiPriority w:val="2"/>
    <w:qFormat/>
    <w:rsid w:val="008A37DD"/>
    <w:pPr>
      <w:spacing w:after="240"/>
      <w:jc w:val="both"/>
    </w:pPr>
  </w:style>
  <w:style w:type="paragraph" w:styleId="Header">
    <w:name w:val="header"/>
    <w:basedOn w:val="Normal"/>
    <w:link w:val="HeaderChar"/>
    <w:uiPriority w:val="49"/>
    <w:rsid w:val="008A37DD"/>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A37DD"/>
    <w:rPr>
      <w:rFonts w:ascii="Times New Roman" w:eastAsia="Times New Roman" w:hAnsi="Times New Roman" w:cs="Times New Roman"/>
      <w:sz w:val="24"/>
      <w:szCs w:val="20"/>
      <w:lang w:eastAsia="de-DE"/>
    </w:rPr>
  </w:style>
  <w:style w:type="paragraph" w:styleId="Footer">
    <w:name w:val="footer"/>
    <w:basedOn w:val="Normal"/>
    <w:link w:val="FooterChar"/>
    <w:uiPriority w:val="49"/>
    <w:rsid w:val="008A37DD"/>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A37DD"/>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semiHidden/>
    <w:rsid w:val="008A37DD"/>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A37DD"/>
    <w:rPr>
      <w:rFonts w:ascii="Times New Roman" w:hAnsi="Times New Roman" w:cs="Times New Roman"/>
      <w:sz w:val="24"/>
    </w:rPr>
  </w:style>
  <w:style w:type="character" w:styleId="Hyperlink">
    <w:name w:val="Hyperlink"/>
    <w:basedOn w:val="DefaultParagraphFont"/>
    <w:uiPriority w:val="98"/>
    <w:unhideWhenUsed/>
    <w:rsid w:val="008A37DD"/>
    <w:rPr>
      <w:color w:val="0000FF" w:themeColor="hyperlink"/>
      <w:u w:val="single"/>
    </w:rPr>
  </w:style>
  <w:style w:type="paragraph" w:customStyle="1" w:styleId="Default">
    <w:name w:val="Default"/>
    <w:rsid w:val="008A37DD"/>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FollowedHyperlink">
    <w:name w:val="FollowedHyperlink"/>
    <w:basedOn w:val="DefaultParagraphFont"/>
    <w:uiPriority w:val="99"/>
    <w:semiHidden/>
    <w:unhideWhenUsed/>
    <w:rsid w:val="00D15C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8"/>
    <w:qFormat/>
    <w:rsid w:val="008A37DD"/>
    <w:pPr>
      <w:spacing w:after="0" w:line="240" w:lineRule="auto"/>
    </w:pPr>
    <w:rPr>
      <w:rFonts w:ascii="Times New Roman" w:eastAsia="MS Mincho"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ext">
    <w:name w:val="wText"/>
    <w:basedOn w:val="Normal"/>
    <w:uiPriority w:val="2"/>
    <w:qFormat/>
    <w:rsid w:val="008A37DD"/>
    <w:pPr>
      <w:spacing w:after="240"/>
      <w:jc w:val="both"/>
    </w:pPr>
  </w:style>
  <w:style w:type="paragraph" w:styleId="Header">
    <w:name w:val="header"/>
    <w:basedOn w:val="Normal"/>
    <w:link w:val="HeaderChar"/>
    <w:uiPriority w:val="49"/>
    <w:rsid w:val="008A37DD"/>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A37DD"/>
    <w:rPr>
      <w:rFonts w:ascii="Times New Roman" w:eastAsia="Times New Roman" w:hAnsi="Times New Roman" w:cs="Times New Roman"/>
      <w:sz w:val="24"/>
      <w:szCs w:val="20"/>
      <w:lang w:eastAsia="de-DE"/>
    </w:rPr>
  </w:style>
  <w:style w:type="paragraph" w:styleId="Footer">
    <w:name w:val="footer"/>
    <w:basedOn w:val="Normal"/>
    <w:link w:val="FooterChar"/>
    <w:uiPriority w:val="49"/>
    <w:rsid w:val="008A37DD"/>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A37DD"/>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semiHidden/>
    <w:rsid w:val="008A37DD"/>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A37DD"/>
    <w:rPr>
      <w:rFonts w:ascii="Times New Roman" w:hAnsi="Times New Roman" w:cs="Times New Roman"/>
      <w:sz w:val="24"/>
    </w:rPr>
  </w:style>
  <w:style w:type="character" w:styleId="Hyperlink">
    <w:name w:val="Hyperlink"/>
    <w:basedOn w:val="DefaultParagraphFont"/>
    <w:uiPriority w:val="98"/>
    <w:unhideWhenUsed/>
    <w:rsid w:val="008A37DD"/>
    <w:rPr>
      <w:color w:val="0000FF" w:themeColor="hyperlink"/>
      <w:u w:val="single"/>
    </w:rPr>
  </w:style>
  <w:style w:type="paragraph" w:customStyle="1" w:styleId="Default">
    <w:name w:val="Default"/>
    <w:rsid w:val="008A37DD"/>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FollowedHyperlink">
    <w:name w:val="FollowedHyperlink"/>
    <w:basedOn w:val="DefaultParagraphFont"/>
    <w:uiPriority w:val="99"/>
    <w:semiHidden/>
    <w:unhideWhenUsed/>
    <w:rsid w:val="00D15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h.hu/en/resolutions/resolutions_of_the_competition_council/resolutions_2011/8455_hu_vj-742011873.html?query=bank" TargetMode="External"/><Relationship Id="rId13" Type="http://schemas.openxmlformats.org/officeDocument/2006/relationships/hyperlink" Target="http://eur-lex.europa.eu/LexUriServ/LexUriServ.do?uri=OJ:C:2010:130:0001:0046:EN:PDF" TargetMode="External"/><Relationship Id="rId18" Type="http://schemas.openxmlformats.org/officeDocument/2006/relationships/hyperlink" Target="http://ec.europa.eu/competition/publications/cpn/2009_3_5.pdf" TargetMode="External"/><Relationship Id="rId26" Type="http://schemas.openxmlformats.org/officeDocument/2006/relationships/hyperlink" Target="http://www.oecd.org/daf/competition/" TargetMode="External"/><Relationship Id="rId3" Type="http://schemas.microsoft.com/office/2007/relationships/stylesWithEffects" Target="stylesWithEffects.xml"/><Relationship Id="rId21" Type="http://schemas.openxmlformats.org/officeDocument/2006/relationships/hyperlink" Target="https://www.gov.uk/government/uploads/system/uploads/attachment_data/file/443686/BIS-15-417-state-aid-the-basics-guide.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c.europa.eu/competition/publications/cpn/2009_1_16.pdf" TargetMode="External"/><Relationship Id="rId17" Type="http://schemas.openxmlformats.org/officeDocument/2006/relationships/hyperlink" Target="http://ec.europa.eu/competition/publications/cpn/2009_1_5.pdf" TargetMode="External"/><Relationship Id="rId25" Type="http://schemas.openxmlformats.org/officeDocument/2006/relationships/hyperlink" Target="http://www.internationalcompetitionnetwork.org/about/steering-group/outreach/icncurriculum.asp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c.europa.eu/competition/antitrust/actionsdamages/documents.html" TargetMode="External"/><Relationship Id="rId20" Type="http://schemas.openxmlformats.org/officeDocument/2006/relationships/hyperlink" Target="http://eur-lex.europa.eu/LexUriServ/LexUriServ.do?uri=OJ:C:2008:095:0001:0048:EN: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ompetition/publications/cpn/2009_1_17.pdf" TargetMode="External"/><Relationship Id="rId24" Type="http://schemas.openxmlformats.org/officeDocument/2006/relationships/hyperlink" Target="http://www.gvh.hu/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apers.ssrn.com/sol3/papers.cfm?abstract_id=1937582" TargetMode="External"/><Relationship Id="rId23" Type="http://schemas.openxmlformats.org/officeDocument/2006/relationships/hyperlink" Target="http://ec.europa.eu/competition/index_en.html" TargetMode="External"/><Relationship Id="rId28" Type="http://schemas.openxmlformats.org/officeDocument/2006/relationships/hyperlink" Target="http://www.versenyjog.com" TargetMode="External"/><Relationship Id="rId36" Type="http://schemas.openxmlformats.org/officeDocument/2006/relationships/theme" Target="theme/theme1.xml"/><Relationship Id="rId10" Type="http://schemas.openxmlformats.org/officeDocument/2006/relationships/hyperlink" Target="http://ec.europa.eu/competition/publications/cpn/2009_1_15.pdf" TargetMode="External"/><Relationship Id="rId19" Type="http://schemas.openxmlformats.org/officeDocument/2006/relationships/hyperlink" Target="http://europa.eu/rapid/press-release_SPEECH-13-660_en.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competition/publications/cpn/2009_2_12.pdf" TargetMode="External"/><Relationship Id="rId14" Type="http://schemas.openxmlformats.org/officeDocument/2006/relationships/hyperlink" Target="http://papers.ssrn.com/sol3/papers.cfm?abstract_id=1759209" TargetMode="External"/><Relationship Id="rId22" Type="http://schemas.openxmlformats.org/officeDocument/2006/relationships/hyperlink" Target="http://ec.europa.eu/competition/publications/cpn/2012_1_10_en.pdf" TargetMode="External"/><Relationship Id="rId27" Type="http://schemas.openxmlformats.org/officeDocument/2006/relationships/hyperlink" Target="http://chillingcompetition.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Tihamer Toth</dc:creator>
  <cp:lastModifiedBy>Tihamer Toth</cp:lastModifiedBy>
  <cp:revision>6</cp:revision>
  <dcterms:created xsi:type="dcterms:W3CDTF">2015-09-07T14:53:00Z</dcterms:created>
  <dcterms:modified xsi:type="dcterms:W3CDTF">2015-09-08T12:05:00Z</dcterms:modified>
</cp:coreProperties>
</file>